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ind w:left="442" w:right="2" w:hanging="442" w:hangingChars="200"/>
        <w:jc w:val="both"/>
        <w:rPr>
          <w:rFonts w:ascii="Arial" w:hAnsi="Arial" w:eastAsia="宋体"/>
          <w:b/>
          <w:sz w:val="22"/>
        </w:rPr>
      </w:pPr>
      <w:r>
        <w:rPr>
          <w:rFonts w:hint="eastAsia" w:ascii="Arial" w:hAnsi="Arial" w:eastAsia="宋体"/>
          <w:b/>
          <w:sz w:val="22"/>
          <w:lang w:eastAsia="ja-JP"/>
        </w:rPr>
        <w:t>3GPP TSG RAN WG1 #10</w:t>
      </w:r>
      <w:r>
        <w:rPr>
          <w:rFonts w:hint="eastAsia" w:ascii="Arial" w:hAnsi="Arial" w:eastAsia="宋体"/>
          <w:b/>
          <w:sz w:val="22"/>
        </w:rPr>
        <w:t>4b</w:t>
      </w:r>
      <w:r>
        <w:rPr>
          <w:rFonts w:hint="eastAsia" w:ascii="Arial" w:hAnsi="Arial" w:eastAsia="宋体"/>
          <w:b/>
          <w:sz w:val="22"/>
          <w:lang w:eastAsia="ja-JP"/>
        </w:rPr>
        <w:t>-e</w:t>
      </w:r>
      <w:r>
        <w:rPr>
          <w:rFonts w:hint="eastAsia" w:ascii="Arial" w:hAnsi="Arial" w:eastAsia="宋体"/>
          <w:b/>
          <w:sz w:val="22"/>
        </w:rPr>
        <w:tab/>
      </w:r>
      <w:r>
        <w:rPr>
          <w:rFonts w:hint="eastAsia" w:ascii="Arial" w:hAnsi="Arial" w:eastAsia="宋体"/>
          <w:b/>
          <w:sz w:val="22"/>
        </w:rPr>
        <w:t xml:space="preserve">                                                                </w:t>
      </w:r>
      <w:r>
        <w:rPr>
          <w:rFonts w:ascii="Arial" w:hAnsi="Arial" w:eastAsia="宋体"/>
          <w:b/>
          <w:sz w:val="22"/>
        </w:rPr>
        <w:t xml:space="preserve"> </w:t>
      </w:r>
      <w:r>
        <w:rPr>
          <w:rFonts w:hint="eastAsia" w:ascii="Arial" w:hAnsi="Arial" w:eastAsia="宋体"/>
          <w:b/>
          <w:sz w:val="22"/>
        </w:rPr>
        <w:t xml:space="preserve">                </w:t>
      </w:r>
      <w:r>
        <w:rPr>
          <w:rFonts w:hint="eastAsia" w:ascii="Arial" w:hAnsi="Arial" w:eastAsia="宋体"/>
          <w:b/>
          <w:sz w:val="22"/>
          <w:lang w:eastAsia="ja-JP"/>
        </w:rPr>
        <w:t>R1-</w:t>
      </w:r>
      <w:r>
        <w:rPr>
          <w:rFonts w:hint="eastAsia" w:ascii="Arial" w:hAnsi="Arial" w:eastAsia="宋体"/>
          <w:b/>
          <w:sz w:val="22"/>
        </w:rPr>
        <w:t>2102662</w:t>
      </w:r>
    </w:p>
    <w:p>
      <w:pPr>
        <w:tabs>
          <w:tab w:val="center" w:pos="4536"/>
          <w:tab w:val="right" w:pos="8280"/>
          <w:tab w:val="right" w:pos="9639"/>
        </w:tabs>
        <w:snapToGrid w:val="0"/>
        <w:ind w:left="442" w:right="2" w:hanging="442" w:hangingChars="200"/>
        <w:jc w:val="both"/>
        <w:rPr>
          <w:rFonts w:ascii="Arial" w:hAnsi="Arial" w:eastAsia="宋体"/>
          <w:b/>
          <w:sz w:val="22"/>
        </w:rPr>
      </w:pPr>
      <w:r>
        <w:rPr>
          <w:rFonts w:hint="eastAsia" w:ascii="Arial" w:hAnsi="Arial" w:eastAsia="宋体"/>
          <w:b/>
          <w:sz w:val="22"/>
          <w:lang w:eastAsia="ja-JP"/>
        </w:rPr>
        <w:t xml:space="preserve">e-Meeting, </w:t>
      </w:r>
      <w:r>
        <w:rPr>
          <w:rFonts w:hint="eastAsia" w:ascii="Arial" w:hAnsi="Arial" w:eastAsia="宋体"/>
          <w:b/>
          <w:sz w:val="22"/>
        </w:rPr>
        <w:t>April 12</w:t>
      </w:r>
      <w:r>
        <w:rPr>
          <w:rFonts w:hint="eastAsia" w:ascii="Arial" w:hAnsi="Arial" w:eastAsia="宋体"/>
          <w:b/>
          <w:sz w:val="22"/>
          <w:vertAlign w:val="superscript"/>
          <w:lang w:eastAsia="ja-JP"/>
        </w:rPr>
        <w:t>th</w:t>
      </w:r>
      <w:r>
        <w:rPr>
          <w:rFonts w:hint="eastAsia" w:ascii="Arial" w:hAnsi="Arial" w:eastAsia="宋体"/>
          <w:b/>
          <w:sz w:val="22"/>
          <w:vertAlign w:val="superscript"/>
        </w:rPr>
        <w:t xml:space="preserve"> </w:t>
      </w:r>
      <w:r>
        <w:rPr>
          <w:rFonts w:eastAsia="宋体"/>
          <w:b/>
          <w:sz w:val="22"/>
          <w:lang w:eastAsia="ja-JP"/>
        </w:rPr>
        <w:t>–</w:t>
      </w:r>
      <w:r>
        <w:rPr>
          <w:rFonts w:hint="eastAsia" w:eastAsia="宋体"/>
          <w:b/>
          <w:sz w:val="22"/>
        </w:rPr>
        <w:t xml:space="preserve"> </w:t>
      </w:r>
      <w:r>
        <w:rPr>
          <w:rFonts w:hint="eastAsia" w:ascii="Arial" w:hAnsi="Arial" w:eastAsia="宋体"/>
          <w:b/>
          <w:sz w:val="22"/>
        </w:rPr>
        <w:t>April 20</w:t>
      </w:r>
      <w:r>
        <w:rPr>
          <w:rFonts w:hint="eastAsia" w:ascii="Arial" w:hAnsi="Arial" w:eastAsia="宋体"/>
          <w:b/>
          <w:sz w:val="22"/>
          <w:vertAlign w:val="superscript"/>
        </w:rPr>
        <w:t>th</w:t>
      </w:r>
      <w:r>
        <w:rPr>
          <w:rFonts w:hint="eastAsia" w:ascii="Arial" w:hAnsi="Arial" w:eastAsia="宋体"/>
          <w:b/>
          <w:sz w:val="22"/>
          <w:lang w:eastAsia="ja-JP"/>
        </w:rPr>
        <w:t>, 202</w:t>
      </w:r>
      <w:r>
        <w:rPr>
          <w:rFonts w:hint="eastAsia" w:ascii="Arial" w:hAnsi="Arial" w:eastAsia="宋体"/>
          <w:b/>
          <w:sz w:val="22"/>
        </w:rPr>
        <w:t>1</w:t>
      </w:r>
    </w:p>
    <w:p>
      <w:pPr>
        <w:pStyle w:val="23"/>
        <w:tabs>
          <w:tab w:val="left" w:pos="1805"/>
          <w:tab w:val="clear" w:pos="4536"/>
        </w:tabs>
        <w:snapToGrid w:val="0"/>
        <w:spacing w:before="120"/>
        <w:ind w:left="1803" w:hanging="1803"/>
        <w:jc w:val="both"/>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p>
    <w:p>
      <w:pPr>
        <w:pStyle w:val="23"/>
        <w:tabs>
          <w:tab w:val="left" w:pos="1800"/>
        </w:tabs>
        <w:snapToGrid w:val="0"/>
        <w:ind w:left="1840" w:hanging="1840" w:hangingChars="833"/>
        <w:jc w:val="both"/>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sz w:val="22"/>
          <w:szCs w:val="22"/>
        </w:rPr>
        <w:t>Discussion on Multi-TRP inter-cell operation</w:t>
      </w:r>
    </w:p>
    <w:p>
      <w:pPr>
        <w:pStyle w:val="23"/>
        <w:tabs>
          <w:tab w:val="left" w:pos="1800"/>
        </w:tabs>
        <w:snapToGrid w:val="0"/>
        <w:jc w:val="both"/>
        <w:rPr>
          <w:sz w:val="22"/>
          <w:szCs w:val="22"/>
        </w:rPr>
      </w:pPr>
      <w:r>
        <w:rPr>
          <w:sz w:val="22"/>
          <w:szCs w:val="22"/>
          <w:lang w:eastAsia="zh-CN"/>
        </w:rPr>
        <w:t>Agenda Item:</w:t>
      </w:r>
      <w:bookmarkStart w:id="0" w:name="Source"/>
      <w:bookmarkEnd w:id="0"/>
      <w:r>
        <w:rPr>
          <w:rFonts w:ascii="Times New Roman" w:hAnsi="Times New Roman" w:eastAsia="宋体"/>
          <w:bCs/>
          <w:sz w:val="22"/>
          <w:szCs w:val="22"/>
          <w:lang w:eastAsia="zh-CN"/>
        </w:rPr>
        <w:tab/>
      </w:r>
      <w:r>
        <w:rPr>
          <w:rFonts w:hint="eastAsia"/>
          <w:sz w:val="22"/>
          <w:szCs w:val="22"/>
        </w:rPr>
        <w:t>8.1.2.2</w:t>
      </w:r>
    </w:p>
    <w:p>
      <w:pPr>
        <w:pBdr>
          <w:bottom w:val="single" w:color="auto" w:sz="6" w:space="1"/>
        </w:pBdr>
        <w:snapToGrid w:val="0"/>
        <w:spacing w:after="240"/>
        <w:ind w:left="1800" w:hanging="1800"/>
        <w:jc w:val="both"/>
        <w:rPr>
          <w:rFonts w:eastAsia="宋体"/>
          <w:b/>
          <w:sz w:val="22"/>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pStyle w:val="2"/>
        <w:tabs>
          <w:tab w:val="clear" w:pos="432"/>
        </w:tabs>
        <w:snapToGrid w:val="0"/>
        <w:spacing w:before="180" w:beforeLines="50" w:beforeAutospacing="0" w:after="180" w:afterLines="50" w:afterAutospacing="0" w:line="240" w:lineRule="auto"/>
        <w:ind w:left="431" w:hanging="431"/>
        <w:jc w:val="both"/>
        <w:rPr>
          <w:rFonts w:ascii="Arial" w:hAnsi="Arial"/>
          <w:sz w:val="28"/>
          <w:lang w:val="en-US"/>
        </w:rPr>
      </w:pPr>
      <w:r>
        <w:rPr>
          <w:rFonts w:ascii="Arial" w:hAnsi="Arial"/>
          <w:sz w:val="28"/>
          <w:lang w:val="en-US"/>
        </w:rPr>
        <w:t>Introduction</w:t>
      </w:r>
    </w:p>
    <w:p>
      <w:pPr>
        <w:snapToGrid w:val="0"/>
        <w:spacing w:before="180" w:beforeLines="50" w:after="180" w:afterLines="50"/>
        <w:jc w:val="both"/>
        <w:rPr>
          <w:rFonts w:eastAsia="宋体"/>
        </w:rPr>
      </w:pPr>
      <w:r>
        <w:rPr>
          <w:rFonts w:hint="eastAsia" w:eastAsia="宋体"/>
        </w:rPr>
        <w:t>In RAN1 #104-e meeting, the following agreements of Multi-TRP inter-cell operation were reached [1].</w:t>
      </w:r>
    </w:p>
    <w:tbl>
      <w:tblPr>
        <w:tblStyle w:val="29"/>
        <w:tblW w:w="9353" w:type="dxa"/>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3" w:type="dxa"/>
          </w:tcPr>
          <w:p>
            <w:pPr>
              <w:snapToGrid w:val="0"/>
              <w:jc w:val="both"/>
              <w:rPr>
                <w:b/>
                <w:i/>
                <w:iCs/>
                <w:u w:val="single"/>
              </w:rPr>
            </w:pPr>
            <w:r>
              <w:rPr>
                <w:b/>
                <w:i/>
                <w:iCs/>
                <w:u w:val="single"/>
              </w:rPr>
              <w:t>Agreement</w:t>
            </w:r>
            <w:r>
              <w:rPr>
                <w:rFonts w:hint="eastAsia"/>
                <w:b/>
                <w:i/>
                <w:iCs/>
                <w:u w:val="single"/>
              </w:rPr>
              <w:t>#1</w:t>
            </w:r>
          </w:p>
          <w:p>
            <w:pPr>
              <w:snapToGrid w:val="0"/>
              <w:jc w:val="both"/>
              <w:rPr>
                <w:i/>
                <w:iCs/>
              </w:rPr>
            </w:pPr>
            <w:r>
              <w:rPr>
                <w:i/>
                <w:iCs/>
              </w:rPr>
              <w:t>Non-serving cell information at least includes non-serving cell PCI to support inter-cell multi-DCI multi-TRP operation</w:t>
            </w:r>
          </w:p>
          <w:p>
            <w:pPr>
              <w:pStyle w:val="122"/>
              <w:numPr>
                <w:ilvl w:val="0"/>
                <w:numId w:val="4"/>
              </w:numPr>
              <w:snapToGrid w:val="0"/>
              <w:spacing w:line="360" w:lineRule="auto"/>
              <w:ind w:leftChars="0" w:hanging="363"/>
              <w:jc w:val="both"/>
              <w:rPr>
                <w:rFonts w:cs="Times"/>
                <w:i/>
                <w:iCs/>
              </w:rPr>
            </w:pPr>
            <w:r>
              <w:rPr>
                <w:rFonts w:cs="Times"/>
                <w:i/>
                <w:iCs/>
              </w:rPr>
              <w:t>FFS: Whether the indication of PCI is implicit or explicit</w:t>
            </w:r>
          </w:p>
          <w:p>
            <w:pPr>
              <w:snapToGrid w:val="0"/>
              <w:jc w:val="both"/>
              <w:rPr>
                <w:b/>
                <w:i/>
                <w:iCs/>
                <w:u w:val="single"/>
              </w:rPr>
            </w:pPr>
            <w:r>
              <w:rPr>
                <w:b/>
                <w:i/>
                <w:iCs/>
                <w:u w:val="single"/>
              </w:rPr>
              <w:t>Agreement</w:t>
            </w:r>
            <w:r>
              <w:rPr>
                <w:rFonts w:hint="eastAsia"/>
                <w:b/>
                <w:i/>
                <w:iCs/>
                <w:u w:val="single"/>
              </w:rPr>
              <w:t>#2</w:t>
            </w:r>
          </w:p>
          <w:p>
            <w:pPr>
              <w:snapToGrid w:val="0"/>
              <w:jc w:val="both"/>
              <w:rPr>
                <w:i/>
                <w:iCs/>
              </w:rPr>
            </w:pPr>
            <w:r>
              <w:rPr>
                <w:i/>
                <w:iCs/>
              </w:rPr>
              <w:t xml:space="preserve">At least following non-serving cell SSB information are needed in inter-cell MTRP operation </w:t>
            </w:r>
          </w:p>
          <w:p>
            <w:pPr>
              <w:pStyle w:val="122"/>
              <w:numPr>
                <w:ilvl w:val="0"/>
                <w:numId w:val="4"/>
              </w:numPr>
              <w:snapToGrid w:val="0"/>
              <w:spacing w:line="360" w:lineRule="auto"/>
              <w:ind w:leftChars="0" w:hanging="363"/>
              <w:jc w:val="both"/>
              <w:rPr>
                <w:rFonts w:cs="Times"/>
                <w:i/>
                <w:iCs/>
              </w:rPr>
            </w:pPr>
            <w:r>
              <w:rPr>
                <w:rFonts w:cs="Times"/>
                <w:i/>
                <w:iCs/>
              </w:rPr>
              <w:t>SSB time domain position</w:t>
            </w:r>
          </w:p>
          <w:p>
            <w:pPr>
              <w:pStyle w:val="122"/>
              <w:numPr>
                <w:ilvl w:val="0"/>
                <w:numId w:val="4"/>
              </w:numPr>
              <w:snapToGrid w:val="0"/>
              <w:spacing w:line="360" w:lineRule="auto"/>
              <w:ind w:leftChars="0" w:hanging="363"/>
              <w:jc w:val="both"/>
              <w:rPr>
                <w:rFonts w:cs="Times"/>
                <w:i/>
                <w:iCs/>
              </w:rPr>
            </w:pPr>
            <w:r>
              <w:rPr>
                <w:rFonts w:cs="Times"/>
                <w:i/>
                <w:iCs/>
              </w:rPr>
              <w:t>SSB transmission periodicity</w:t>
            </w:r>
          </w:p>
          <w:p>
            <w:pPr>
              <w:pStyle w:val="122"/>
              <w:numPr>
                <w:ilvl w:val="0"/>
                <w:numId w:val="4"/>
              </w:numPr>
              <w:snapToGrid w:val="0"/>
              <w:spacing w:line="360" w:lineRule="auto"/>
              <w:ind w:leftChars="0" w:hanging="363"/>
              <w:jc w:val="both"/>
              <w:rPr>
                <w:rFonts w:cs="Times"/>
                <w:i/>
                <w:iCs/>
              </w:rPr>
            </w:pPr>
            <w:r>
              <w:rPr>
                <w:rFonts w:cs="Times"/>
                <w:i/>
                <w:iCs/>
              </w:rPr>
              <w:t>SSB transmission power</w:t>
            </w:r>
          </w:p>
          <w:p>
            <w:pPr>
              <w:snapToGrid w:val="0"/>
              <w:jc w:val="both"/>
              <w:rPr>
                <w:i/>
                <w:iCs/>
              </w:rPr>
            </w:pPr>
            <w:r>
              <w:rPr>
                <w:i/>
                <w:iCs/>
              </w:rPr>
              <w:t>FFS: Other non-serving cell information</w:t>
            </w:r>
          </w:p>
          <w:p>
            <w:pPr>
              <w:snapToGrid w:val="0"/>
              <w:jc w:val="both"/>
              <w:rPr>
                <w:i/>
                <w:iCs/>
              </w:rPr>
            </w:pPr>
            <w:r>
              <w:rPr>
                <w:i/>
                <w:iCs/>
              </w:rPr>
              <w:t>FFS: Whether indication of these information is implicit or explicit</w:t>
            </w:r>
          </w:p>
          <w:p>
            <w:pPr>
              <w:snapToGrid w:val="0"/>
              <w:spacing w:before="180" w:beforeLines="50"/>
              <w:jc w:val="both"/>
              <w:rPr>
                <w:b/>
                <w:i/>
                <w:iCs/>
                <w:u w:val="single"/>
              </w:rPr>
            </w:pPr>
            <w:r>
              <w:rPr>
                <w:b/>
                <w:i/>
                <w:iCs/>
                <w:u w:val="single"/>
              </w:rPr>
              <w:t>Agreement</w:t>
            </w:r>
            <w:r>
              <w:rPr>
                <w:rFonts w:hint="eastAsia"/>
                <w:b/>
                <w:i/>
                <w:iCs/>
                <w:u w:val="single"/>
              </w:rPr>
              <w:t>#3</w:t>
            </w:r>
          </w:p>
          <w:p>
            <w:pPr>
              <w:snapToGrid w:val="0"/>
              <w:jc w:val="both"/>
              <w:rPr>
                <w:i/>
                <w:iCs/>
              </w:rPr>
            </w:pPr>
            <w:r>
              <w:rPr>
                <w:i/>
                <w:iCs/>
              </w:rPr>
              <w:t>For inter-cell MTRP operation,</w:t>
            </w:r>
            <w:r>
              <w:rPr>
                <w:rFonts w:hint="eastAsia"/>
                <w:i/>
                <w:iCs/>
              </w:rPr>
              <w:t xml:space="preserve"> f</w:t>
            </w:r>
            <w:r>
              <w:rPr>
                <w:i/>
                <w:iCs/>
              </w:rPr>
              <w:t>urther discuss following options and down select in RAN1#104bis-e</w:t>
            </w:r>
          </w:p>
          <w:p>
            <w:pPr>
              <w:pStyle w:val="122"/>
              <w:numPr>
                <w:ilvl w:val="0"/>
                <w:numId w:val="4"/>
              </w:numPr>
              <w:snapToGrid w:val="0"/>
              <w:spacing w:line="360" w:lineRule="auto"/>
              <w:ind w:leftChars="0" w:hanging="363"/>
              <w:jc w:val="both"/>
              <w:rPr>
                <w:rFonts w:cs="Times"/>
                <w:i/>
                <w:iCs/>
              </w:rPr>
            </w:pPr>
            <w:r>
              <w:rPr>
                <w:rFonts w:cs="Times"/>
                <w:i/>
                <w:iCs/>
              </w:rPr>
              <w:t>Option1: Indicate/associate non-serving cell PCI in the TCI state</w:t>
            </w:r>
          </w:p>
          <w:p>
            <w:pPr>
              <w:pStyle w:val="122"/>
              <w:numPr>
                <w:ilvl w:val="1"/>
                <w:numId w:val="4"/>
              </w:numPr>
              <w:snapToGrid w:val="0"/>
              <w:spacing w:line="360" w:lineRule="auto"/>
              <w:ind w:leftChars="0" w:hanging="363"/>
              <w:jc w:val="both"/>
              <w:rPr>
                <w:rFonts w:cs="Times"/>
                <w:i/>
                <w:iCs/>
              </w:rPr>
            </w:pPr>
            <w:r>
              <w:rPr>
                <w:rFonts w:cs="Times"/>
                <w:i/>
                <w:iCs/>
              </w:rPr>
              <w:t>FFS other non-serving cell information</w:t>
            </w:r>
          </w:p>
          <w:p>
            <w:pPr>
              <w:pStyle w:val="122"/>
              <w:numPr>
                <w:ilvl w:val="0"/>
                <w:numId w:val="4"/>
              </w:numPr>
              <w:snapToGrid w:val="0"/>
              <w:spacing w:line="360" w:lineRule="auto"/>
              <w:ind w:leftChars="0" w:hanging="363"/>
              <w:jc w:val="both"/>
              <w:rPr>
                <w:rFonts w:cs="Times"/>
                <w:i/>
                <w:iCs/>
              </w:rPr>
            </w:pPr>
            <w:r>
              <w:rPr>
                <w:rFonts w:cs="Times"/>
                <w:i/>
                <w:iCs/>
              </w:rPr>
              <w:t>Option2: Introduce a flag to indicate whether a TCI state/QCL information is associated with non-serving cell information or serving cell</w:t>
            </w:r>
          </w:p>
          <w:p>
            <w:pPr>
              <w:pStyle w:val="122"/>
              <w:numPr>
                <w:ilvl w:val="1"/>
                <w:numId w:val="4"/>
              </w:numPr>
              <w:snapToGrid w:val="0"/>
              <w:spacing w:line="360" w:lineRule="auto"/>
              <w:ind w:leftChars="0" w:hanging="363"/>
              <w:jc w:val="both"/>
              <w:rPr>
                <w:rFonts w:cs="Times"/>
                <w:i/>
                <w:iCs/>
              </w:rPr>
            </w:pPr>
            <w:r>
              <w:rPr>
                <w:rFonts w:cs="Times"/>
                <w:i/>
                <w:iCs/>
              </w:rPr>
              <w:t>FFS: how the flag is linked to non-serving cell</w:t>
            </w:r>
          </w:p>
          <w:p>
            <w:pPr>
              <w:pStyle w:val="122"/>
              <w:numPr>
                <w:ilvl w:val="0"/>
                <w:numId w:val="4"/>
              </w:numPr>
              <w:snapToGrid w:val="0"/>
              <w:spacing w:line="360" w:lineRule="auto"/>
              <w:ind w:leftChars="0" w:hanging="363"/>
              <w:jc w:val="both"/>
              <w:rPr>
                <w:rFonts w:cs="Times"/>
                <w:i/>
                <w:iCs/>
              </w:rPr>
            </w:pPr>
            <w:r>
              <w:rPr>
                <w:rFonts w:cs="Times"/>
                <w:i/>
                <w:iCs/>
              </w:rPr>
              <w:t>Option3: Explicit or implicit grouping of TCI states associated with non-serving cell information corresponding to the serving cell and the non-serving cell respectively.</w:t>
            </w:r>
          </w:p>
          <w:p>
            <w:pPr>
              <w:pStyle w:val="122"/>
              <w:numPr>
                <w:ilvl w:val="1"/>
                <w:numId w:val="4"/>
              </w:numPr>
              <w:snapToGrid w:val="0"/>
              <w:spacing w:line="360" w:lineRule="auto"/>
              <w:ind w:leftChars="0" w:hanging="363"/>
              <w:jc w:val="both"/>
              <w:rPr>
                <w:rFonts w:cs="Times"/>
                <w:i/>
                <w:iCs/>
              </w:rPr>
            </w:pPr>
            <w:r>
              <w:rPr>
                <w:rFonts w:cs="Times"/>
                <w:i/>
                <w:iCs/>
              </w:rPr>
              <w:t>FFS: Each group is associated with a CORESETPoolIndex value.</w:t>
            </w:r>
          </w:p>
          <w:p>
            <w:pPr>
              <w:pStyle w:val="122"/>
              <w:numPr>
                <w:ilvl w:val="1"/>
                <w:numId w:val="4"/>
              </w:numPr>
              <w:snapToGrid w:val="0"/>
              <w:spacing w:line="360" w:lineRule="auto"/>
              <w:ind w:leftChars="0" w:hanging="363"/>
              <w:jc w:val="both"/>
              <w:rPr>
                <w:rFonts w:cs="Times"/>
                <w:i/>
                <w:iCs/>
              </w:rPr>
            </w:pPr>
            <w:r>
              <w:rPr>
                <w:rFonts w:cs="Times"/>
                <w:i/>
                <w:iCs/>
              </w:rPr>
              <w:t>FFS: how to link the group of TCI states to non-serving cell.</w:t>
            </w:r>
          </w:p>
          <w:p>
            <w:pPr>
              <w:pStyle w:val="122"/>
              <w:numPr>
                <w:ilvl w:val="0"/>
                <w:numId w:val="4"/>
              </w:numPr>
              <w:snapToGrid w:val="0"/>
              <w:spacing w:line="360" w:lineRule="auto"/>
              <w:ind w:leftChars="0" w:hanging="363"/>
              <w:jc w:val="both"/>
              <w:rPr>
                <w:rFonts w:cs="Times"/>
                <w:i/>
                <w:iCs/>
              </w:rPr>
            </w:pPr>
            <w:r>
              <w:rPr>
                <w:rFonts w:cs="Times"/>
                <w:i/>
                <w:iCs/>
              </w:rPr>
              <w:t>Option4: Re-index the non-serving cell RS, e.g., in the TCI state/QCL-Info, so that the UE can differentiate between a serving cell RS and a non-serving cell RS</w:t>
            </w:r>
          </w:p>
          <w:p>
            <w:pPr>
              <w:pStyle w:val="122"/>
              <w:numPr>
                <w:ilvl w:val="1"/>
                <w:numId w:val="4"/>
              </w:numPr>
              <w:snapToGrid w:val="0"/>
              <w:spacing w:line="360" w:lineRule="auto"/>
              <w:ind w:leftChars="0" w:hanging="363"/>
              <w:jc w:val="both"/>
              <w:rPr>
                <w:rFonts w:cs="Times"/>
                <w:i/>
                <w:iCs/>
              </w:rPr>
            </w:pPr>
            <w:r>
              <w:rPr>
                <w:rFonts w:cs="Times"/>
                <w:i/>
                <w:iCs/>
              </w:rPr>
              <w:t>Example: serving cell RSs are indexed from #0, #1, …, #N-1, while non-serving cell RSs are re-indexed from #N, #N+1, …</w:t>
            </w:r>
          </w:p>
          <w:p>
            <w:pPr>
              <w:pStyle w:val="122"/>
              <w:numPr>
                <w:ilvl w:val="1"/>
                <w:numId w:val="4"/>
              </w:numPr>
              <w:snapToGrid w:val="0"/>
              <w:spacing w:line="360" w:lineRule="auto"/>
              <w:ind w:leftChars="0" w:hanging="363"/>
              <w:jc w:val="both"/>
              <w:rPr>
                <w:rFonts w:cs="Times"/>
                <w:i/>
                <w:iCs/>
              </w:rPr>
            </w:pPr>
            <w:r>
              <w:rPr>
                <w:rFonts w:cs="Times"/>
                <w:i/>
                <w:iCs/>
              </w:rPr>
              <w:t>FFS: detailed re-indexing rule(s) of non-serving cell RSs</w:t>
            </w:r>
          </w:p>
          <w:p>
            <w:pPr>
              <w:pStyle w:val="122"/>
              <w:numPr>
                <w:ilvl w:val="0"/>
                <w:numId w:val="4"/>
              </w:numPr>
              <w:snapToGrid w:val="0"/>
              <w:spacing w:line="360" w:lineRule="auto"/>
              <w:ind w:leftChars="0" w:hanging="363"/>
              <w:jc w:val="both"/>
              <w:rPr>
                <w:rFonts w:cs="Times"/>
                <w:i/>
                <w:iCs/>
              </w:rPr>
            </w:pPr>
            <w:r>
              <w:rPr>
                <w:rFonts w:cs="Times"/>
                <w:i/>
                <w:iCs/>
              </w:rPr>
              <w:t>Option5: Introduce a new indicator (e.g., re-index the non-serving cell) to indicate the non-serving cell information that a TCI state/QCL information is associated with</w:t>
            </w:r>
          </w:p>
          <w:p>
            <w:pPr>
              <w:pStyle w:val="122"/>
              <w:numPr>
                <w:ilvl w:val="1"/>
                <w:numId w:val="4"/>
              </w:numPr>
              <w:snapToGrid w:val="0"/>
              <w:spacing w:line="360" w:lineRule="auto"/>
              <w:ind w:leftChars="0" w:hanging="363"/>
              <w:jc w:val="both"/>
              <w:rPr>
                <w:rFonts w:cs="Times"/>
                <w:i/>
                <w:iCs/>
              </w:rPr>
            </w:pPr>
            <w:r>
              <w:rPr>
                <w:rFonts w:cs="Times"/>
                <w:i/>
                <w:iCs/>
              </w:rPr>
              <w:t>FFS: how the indicator is linked to non-serving cell</w:t>
            </w:r>
          </w:p>
          <w:p>
            <w:pPr>
              <w:pStyle w:val="122"/>
              <w:numPr>
                <w:ilvl w:val="1"/>
                <w:numId w:val="4"/>
              </w:numPr>
              <w:snapToGrid w:val="0"/>
              <w:spacing w:line="360" w:lineRule="auto"/>
              <w:ind w:leftChars="0" w:hanging="363"/>
              <w:jc w:val="both"/>
              <w:rPr>
                <w:rFonts w:cs="Times"/>
                <w:i/>
                <w:iCs/>
              </w:rPr>
            </w:pPr>
            <w:r>
              <w:rPr>
                <w:rFonts w:cs="Times"/>
                <w:i/>
                <w:iCs/>
              </w:rPr>
              <w:t>Note: when there is only one non-serving cell, it means the same as Option2.</w:t>
            </w:r>
          </w:p>
          <w:p>
            <w:pPr>
              <w:snapToGrid w:val="0"/>
              <w:spacing w:before="180" w:beforeLines="50"/>
              <w:jc w:val="both"/>
              <w:rPr>
                <w:b/>
                <w:i/>
                <w:iCs/>
                <w:u w:val="single"/>
                <w:lang w:eastAsia="ko-KR"/>
              </w:rPr>
            </w:pPr>
            <w:r>
              <w:rPr>
                <w:b/>
                <w:i/>
                <w:iCs/>
                <w:u w:val="single"/>
              </w:rPr>
              <w:t>Agreement</w:t>
            </w:r>
            <w:r>
              <w:rPr>
                <w:rFonts w:hint="eastAsia"/>
                <w:b/>
                <w:i/>
                <w:iCs/>
                <w:u w:val="single"/>
              </w:rPr>
              <w:t>#4</w:t>
            </w:r>
          </w:p>
          <w:p>
            <w:pPr>
              <w:snapToGrid w:val="0"/>
              <w:jc w:val="both"/>
              <w:rPr>
                <w:i/>
                <w:iCs/>
              </w:rPr>
            </w:pPr>
            <w:r>
              <w:rPr>
                <w:i/>
                <w:iCs/>
              </w:rPr>
              <w:t>Agree on scheme1</w:t>
            </w:r>
          </w:p>
          <w:p>
            <w:pPr>
              <w:pStyle w:val="122"/>
              <w:numPr>
                <w:ilvl w:val="0"/>
                <w:numId w:val="4"/>
              </w:numPr>
              <w:snapToGrid w:val="0"/>
              <w:spacing w:line="360" w:lineRule="auto"/>
              <w:ind w:leftChars="0" w:hanging="363"/>
              <w:jc w:val="both"/>
              <w:rPr>
                <w:rFonts w:cs="Times"/>
                <w:i/>
                <w:iCs/>
              </w:rPr>
            </w:pPr>
            <w:r>
              <w:rPr>
                <w:rFonts w:cs="Times"/>
                <w:i/>
                <w:iCs/>
              </w:rPr>
              <w:t>Scheme1: PDSCH/PDCCH from non-serving cell (PCI) associated with TCI state and/or QCL-info is rate matched around non-serving cell SSB with the same PCI</w:t>
            </w:r>
          </w:p>
          <w:p>
            <w:pPr>
              <w:pStyle w:val="122"/>
              <w:numPr>
                <w:ilvl w:val="0"/>
                <w:numId w:val="4"/>
              </w:numPr>
              <w:snapToGrid w:val="0"/>
              <w:spacing w:line="360" w:lineRule="auto"/>
              <w:ind w:leftChars="0" w:hanging="363"/>
              <w:jc w:val="both"/>
              <w:rPr>
                <w:rFonts w:cs="Times"/>
                <w:i/>
                <w:iCs/>
              </w:rPr>
            </w:pPr>
            <w:r>
              <w:rPr>
                <w:rFonts w:cs="Times"/>
                <w:i/>
                <w:iCs/>
              </w:rPr>
              <w:t>FFS: whether PDSCH /PDCCH from serving cell (PCI) is rate matched around non-serving cell SSB</w:t>
            </w:r>
          </w:p>
          <w:p>
            <w:pPr>
              <w:pStyle w:val="122"/>
              <w:numPr>
                <w:ilvl w:val="0"/>
                <w:numId w:val="4"/>
              </w:numPr>
              <w:snapToGrid w:val="0"/>
              <w:spacing w:line="360" w:lineRule="auto"/>
              <w:ind w:leftChars="0" w:hanging="363"/>
              <w:jc w:val="both"/>
              <w:rPr>
                <w:i/>
                <w:iCs/>
              </w:rPr>
            </w:pPr>
            <w:r>
              <w:rPr>
                <w:rFonts w:cs="Times"/>
                <w:i/>
                <w:iCs/>
              </w:rPr>
              <w:t>FFS: whether PDSCH/PDCCH from non-serving cell (PCI) associated with TCI state and/or QCL-info is rate matched around serving cell SSB</w:t>
            </w:r>
          </w:p>
          <w:p>
            <w:pPr>
              <w:snapToGrid w:val="0"/>
              <w:jc w:val="both"/>
              <w:rPr>
                <w:b/>
                <w:i/>
                <w:iCs/>
                <w:u w:val="single"/>
              </w:rPr>
            </w:pPr>
            <w:r>
              <w:rPr>
                <w:b/>
                <w:i/>
                <w:iCs/>
                <w:u w:val="single"/>
              </w:rPr>
              <w:t>Conclusion</w:t>
            </w:r>
          </w:p>
          <w:p>
            <w:pPr>
              <w:snapToGrid w:val="0"/>
              <w:jc w:val="both"/>
              <w:rPr>
                <w:i/>
                <w:iCs/>
              </w:rPr>
            </w:pPr>
            <w:r>
              <w:rPr>
                <w:i/>
                <w:iCs/>
              </w:rPr>
              <w:t>Reuse Rel-15/16 QCL rule between the source and target RS/channel for non-serving cell RS/channel.</w:t>
            </w:r>
          </w:p>
          <w:p>
            <w:pPr>
              <w:snapToGrid w:val="0"/>
              <w:spacing w:before="180" w:beforeLines="50"/>
              <w:jc w:val="both"/>
              <w:rPr>
                <w:b/>
                <w:i/>
                <w:iCs/>
                <w:u w:val="single"/>
                <w:lang w:val="en-GB" w:eastAsia="ko-KR"/>
              </w:rPr>
            </w:pPr>
            <w:r>
              <w:rPr>
                <w:b/>
                <w:i/>
                <w:iCs/>
                <w:u w:val="single"/>
                <w:lang w:val="en-GB" w:eastAsia="ko-KR"/>
              </w:rPr>
              <w:t>Conclusion</w:t>
            </w:r>
          </w:p>
          <w:p>
            <w:pPr>
              <w:snapToGrid w:val="0"/>
              <w:jc w:val="both"/>
              <w:rPr>
                <w:i/>
                <w:iCs/>
                <w:lang w:val="en-GB"/>
              </w:rPr>
            </w:pPr>
            <w:r>
              <w:rPr>
                <w:i/>
                <w:iCs/>
                <w:lang w:val="en-GB"/>
              </w:rPr>
              <w:t>The UE may assume received DL transmission from multiple TRP within a CP  in FR1 and FR2.</w:t>
            </w:r>
          </w:p>
          <w:p>
            <w:pPr>
              <w:pStyle w:val="122"/>
              <w:numPr>
                <w:ilvl w:val="0"/>
                <w:numId w:val="4"/>
              </w:numPr>
              <w:snapToGrid w:val="0"/>
              <w:spacing w:line="360" w:lineRule="auto"/>
              <w:ind w:leftChars="0" w:hanging="363"/>
              <w:jc w:val="both"/>
              <w:rPr>
                <w:i/>
                <w:iCs/>
              </w:rPr>
            </w:pPr>
            <w:r>
              <w:rPr>
                <w:rFonts w:cs="Times"/>
                <w:i/>
                <w:iCs/>
              </w:rPr>
              <w:t>Note: This does not imply that RAN1 intends to ask RAN4 to tighten network synchronization requirements.</w:t>
            </w:r>
          </w:p>
        </w:tc>
      </w:tr>
    </w:tbl>
    <w:p>
      <w:pPr>
        <w:snapToGrid w:val="0"/>
        <w:spacing w:before="180" w:beforeLines="50" w:after="180" w:afterLines="50"/>
        <w:jc w:val="both"/>
      </w:pPr>
      <w:r>
        <w:rPr>
          <w:rFonts w:hint="eastAsia" w:eastAsia="微软雅黑"/>
          <w:szCs w:val="20"/>
          <w:lang w:val="en-GB"/>
        </w:rPr>
        <w:t xml:space="preserve">In </w:t>
      </w:r>
      <w:r>
        <w:rPr>
          <w:rFonts w:hint="eastAsia" w:eastAsia="微软雅黑"/>
          <w:szCs w:val="20"/>
        </w:rPr>
        <w:t xml:space="preserve">this </w:t>
      </w:r>
      <w:r>
        <w:rPr>
          <w:rFonts w:hint="eastAsia" w:eastAsia="微软雅黑"/>
          <w:szCs w:val="20"/>
          <w:lang w:val="en-GB"/>
        </w:rPr>
        <w:t xml:space="preserve">contribution, </w:t>
      </w:r>
      <w:r>
        <w:rPr>
          <w:rFonts w:hint="eastAsia"/>
        </w:rPr>
        <w:t xml:space="preserve">we discuss the following aspects of Multi-TRP </w:t>
      </w:r>
      <w:r>
        <w:rPr>
          <w:rFonts w:hint="eastAsia" w:eastAsia="宋体"/>
        </w:rPr>
        <w:t>inter-cell operation</w:t>
      </w:r>
      <w:r>
        <w:rPr>
          <w:rFonts w:hint="eastAsia"/>
        </w:rPr>
        <w:t xml:space="preserve"> enhancements:</w:t>
      </w:r>
    </w:p>
    <w:p>
      <w:pPr>
        <w:pStyle w:val="25"/>
        <w:numPr>
          <w:ilvl w:val="0"/>
          <w:numId w:val="5"/>
        </w:numPr>
        <w:snapToGrid w:val="0"/>
        <w:spacing w:before="180" w:after="180"/>
        <w:rPr>
          <w:sz w:val="20"/>
        </w:rPr>
      </w:pPr>
      <w:r>
        <w:rPr>
          <w:rFonts w:hint="eastAsia"/>
          <w:sz w:val="20"/>
        </w:rPr>
        <w:t>Other non-serving cell SSB information</w:t>
      </w:r>
    </w:p>
    <w:p>
      <w:pPr>
        <w:pStyle w:val="25"/>
        <w:numPr>
          <w:ilvl w:val="0"/>
          <w:numId w:val="5"/>
        </w:numPr>
        <w:snapToGrid w:val="0"/>
        <w:spacing w:before="180" w:after="180"/>
        <w:rPr>
          <w:sz w:val="20"/>
        </w:rPr>
      </w:pPr>
      <w:r>
        <w:rPr>
          <w:rFonts w:hint="eastAsia"/>
          <w:sz w:val="20"/>
        </w:rPr>
        <w:t>Configuration of TCI state/ QCL-info with non-serving cell SSB information</w:t>
      </w:r>
    </w:p>
    <w:p>
      <w:pPr>
        <w:pStyle w:val="25"/>
        <w:numPr>
          <w:ilvl w:val="0"/>
          <w:numId w:val="5"/>
        </w:numPr>
        <w:snapToGrid w:val="0"/>
        <w:spacing w:before="180" w:after="180"/>
        <w:rPr>
          <w:sz w:val="20"/>
        </w:rPr>
      </w:pPr>
      <w:r>
        <w:rPr>
          <w:rFonts w:hint="eastAsia"/>
          <w:sz w:val="20"/>
        </w:rPr>
        <w:t>Other QCL source from non-serving cell</w:t>
      </w:r>
    </w:p>
    <w:p>
      <w:pPr>
        <w:pStyle w:val="25"/>
        <w:numPr>
          <w:ilvl w:val="0"/>
          <w:numId w:val="5"/>
        </w:numPr>
        <w:snapToGrid w:val="0"/>
        <w:spacing w:before="180" w:after="180"/>
        <w:rPr>
          <w:sz w:val="20"/>
        </w:rPr>
      </w:pPr>
      <w:r>
        <w:rPr>
          <w:rFonts w:hint="eastAsia"/>
          <w:sz w:val="20"/>
        </w:rPr>
        <w:t>Enhancement on UL transmission</w:t>
      </w:r>
    </w:p>
    <w:p>
      <w:pPr>
        <w:pStyle w:val="25"/>
        <w:numPr>
          <w:ilvl w:val="0"/>
          <w:numId w:val="5"/>
        </w:numPr>
        <w:snapToGrid w:val="0"/>
        <w:spacing w:before="180" w:after="180"/>
        <w:rPr>
          <w:sz w:val="20"/>
        </w:rPr>
      </w:pPr>
      <w:r>
        <w:rPr>
          <w:rFonts w:hint="eastAsia"/>
          <w:sz w:val="20"/>
        </w:rPr>
        <w:t>Sequence generation of non-serving cell TRS</w:t>
      </w:r>
    </w:p>
    <w:p>
      <w:pPr>
        <w:pStyle w:val="25"/>
        <w:numPr>
          <w:ilvl w:val="0"/>
          <w:numId w:val="5"/>
        </w:numPr>
        <w:snapToGrid w:val="0"/>
        <w:spacing w:before="180" w:after="180"/>
        <w:rPr>
          <w:sz w:val="20"/>
        </w:rPr>
      </w:pPr>
      <w:r>
        <w:rPr>
          <w:rFonts w:hint="eastAsia"/>
          <w:sz w:val="20"/>
        </w:rPr>
        <w:t>Rate matching related enhancement</w:t>
      </w:r>
    </w:p>
    <w:p>
      <w:pPr>
        <w:pStyle w:val="2"/>
        <w:tabs>
          <w:tab w:val="clear" w:pos="432"/>
        </w:tabs>
        <w:snapToGrid w:val="0"/>
        <w:spacing w:before="180" w:beforeLines="50" w:beforeAutospacing="0" w:after="180" w:afterLines="50" w:afterAutospacing="0" w:line="240" w:lineRule="auto"/>
        <w:ind w:left="431" w:hanging="431"/>
        <w:jc w:val="both"/>
        <w:rPr>
          <w:rFonts w:ascii="Arial" w:hAnsi="Arial" w:cs="Arial"/>
          <w:sz w:val="28"/>
          <w:lang w:val="en-US"/>
        </w:rPr>
      </w:pPr>
      <w:r>
        <w:rPr>
          <w:rFonts w:ascii="Arial" w:hAnsi="Arial" w:cs="Arial"/>
          <w:sz w:val="28"/>
          <w:lang w:val="en-US"/>
        </w:rPr>
        <w:t>Discussion</w:t>
      </w:r>
    </w:p>
    <w:p>
      <w:pPr>
        <w:pStyle w:val="3"/>
        <w:snapToGrid w:val="0"/>
        <w:jc w:val="both"/>
        <w:rPr>
          <w:rFonts w:ascii="Arial" w:hAnsi="Arial" w:cs="Arial"/>
          <w:szCs w:val="22"/>
          <w:lang w:val="en-US"/>
        </w:rPr>
      </w:pPr>
      <w:r>
        <w:rPr>
          <w:rFonts w:hint="eastAsia" w:ascii="Arial" w:hAnsi="Arial" w:cs="Arial"/>
          <w:szCs w:val="22"/>
          <w:lang w:val="en-US"/>
        </w:rPr>
        <w:t>Other required non-serving cell SSB information</w:t>
      </w:r>
    </w:p>
    <w:p>
      <w:pPr>
        <w:snapToGrid w:val="0"/>
        <w:spacing w:before="180" w:beforeLines="50" w:after="180" w:afterLines="50"/>
        <w:jc w:val="both"/>
        <w:rPr>
          <w:rFonts w:eastAsiaTheme="minorEastAsia"/>
          <w:szCs w:val="20"/>
        </w:rPr>
      </w:pPr>
      <w:r>
        <w:rPr>
          <w:rFonts w:hint="eastAsia" w:eastAsiaTheme="minorEastAsia"/>
          <w:szCs w:val="20"/>
        </w:rPr>
        <w:t xml:space="preserve">In the last meeting, RAN1 agreed that some non-serving cell SSB information besides PCI are need, e.g., time domain position, transmission periodicity and power. Besides, other non-serving cell information </w:t>
      </w:r>
      <w:r>
        <w:rPr>
          <w:rFonts w:eastAsiaTheme="minorEastAsia"/>
          <w:szCs w:val="20"/>
        </w:rPr>
        <w:t>was still</w:t>
      </w:r>
      <w:r>
        <w:rPr>
          <w:rFonts w:hint="eastAsia" w:eastAsiaTheme="minorEastAsia"/>
          <w:szCs w:val="20"/>
        </w:rPr>
        <w:t xml:space="preserve"> FFS. </w:t>
      </w:r>
    </w:p>
    <w:p>
      <w:pPr>
        <w:snapToGrid w:val="0"/>
        <w:spacing w:before="180" w:beforeLines="50" w:after="180" w:afterLines="50"/>
        <w:jc w:val="both"/>
        <w:rPr>
          <w:rFonts w:eastAsiaTheme="minorEastAsia"/>
          <w:szCs w:val="20"/>
        </w:rPr>
      </w:pPr>
      <w:r>
        <w:rPr>
          <w:rFonts w:hint="eastAsia" w:eastAsiaTheme="minorEastAsia"/>
          <w:szCs w:val="20"/>
        </w:rPr>
        <w:t xml:space="preserve">Generally, it is typical and rational that the non-serving cell TRP selection (TCI state/ QCL-info indication) can </w:t>
      </w:r>
      <w:r>
        <w:rPr>
          <w:rFonts w:eastAsiaTheme="minorEastAsia"/>
          <w:szCs w:val="20"/>
        </w:rPr>
        <w:t>be conditional on</w:t>
      </w:r>
      <w:r>
        <w:rPr>
          <w:rFonts w:hint="eastAsia" w:eastAsiaTheme="minorEastAsia"/>
          <w:szCs w:val="20"/>
        </w:rPr>
        <w:t xml:space="preserve"> mobility </w:t>
      </w:r>
      <w:r>
        <w:rPr>
          <w:rFonts w:eastAsiaTheme="minorEastAsia"/>
          <w:szCs w:val="20"/>
        </w:rPr>
        <w:t>measurement</w:t>
      </w:r>
      <w:r>
        <w:rPr>
          <w:rFonts w:hint="eastAsia" w:eastAsiaTheme="minorEastAsia"/>
          <w:szCs w:val="20"/>
        </w:rPr>
        <w:t xml:space="preserve">, which means the non-serving cell SSB for multi-TRP inter-cell operation should be one of the SSB(s) that configured in </w:t>
      </w:r>
      <w:r>
        <w:rPr>
          <w:rFonts w:hint="eastAsia" w:eastAsiaTheme="minorEastAsia"/>
          <w:i/>
          <w:iCs/>
          <w:szCs w:val="20"/>
        </w:rPr>
        <w:t>MeasObjectNR</w:t>
      </w:r>
      <w:r>
        <w:rPr>
          <w:rFonts w:hint="eastAsia" w:eastAsiaTheme="minorEastAsia"/>
          <w:szCs w:val="20"/>
        </w:rPr>
        <w:t xml:space="preserve">. Correspondingly, measurement object identified by </w:t>
      </w:r>
      <w:r>
        <w:rPr>
          <w:rFonts w:hint="eastAsia" w:eastAsiaTheme="minorEastAsia"/>
          <w:i/>
          <w:iCs/>
          <w:szCs w:val="20"/>
        </w:rPr>
        <w:t>measObjectId</w:t>
      </w:r>
      <w:r>
        <w:rPr>
          <w:rFonts w:hint="eastAsia" w:eastAsiaTheme="minorEastAsia"/>
          <w:szCs w:val="20"/>
        </w:rPr>
        <w:t xml:space="preserve"> is used to provide the time/frequency location and SCS of SSB(s) to be measured. According to the current spec, it allows that multiple SSBs for measurement can be configured for one cell, which means PCI of these SSBs are same (as shown in Figure 1). Thus, some other information is needed to identify this SSB without ambiguity, such as the frequency of SSB associated to the MO. For intra-frequency operation, the frequency of SSB </w:t>
      </w:r>
      <w:r>
        <w:rPr>
          <w:rFonts w:eastAsiaTheme="minorEastAsia"/>
          <w:szCs w:val="20"/>
        </w:rPr>
        <w:t>in</w:t>
      </w:r>
      <w:r>
        <w:rPr>
          <w:rFonts w:hint="eastAsia" w:eastAsiaTheme="minorEastAsia"/>
          <w:szCs w:val="20"/>
        </w:rPr>
        <w:t xml:space="preserve"> MO can be obtained by the information of serving cell. However, for inter-frequency operation, due to the center frequency of serving cell and non-serving cell can be different, the frequency of non-serving cell SSB should be informed to the UE.</w:t>
      </w:r>
    </w:p>
    <w:p>
      <w:pPr>
        <w:snapToGrid w:val="0"/>
        <w:spacing w:before="180" w:beforeLines="50" w:after="120"/>
        <w:jc w:val="center"/>
      </w:pPr>
      <w:r>
        <w:drawing>
          <wp:inline distT="0" distB="0" distL="114300" distR="114300">
            <wp:extent cx="4271645" cy="1714500"/>
            <wp:effectExtent l="0" t="0" r="8255"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4"/>
                    <a:stretch>
                      <a:fillRect/>
                    </a:stretch>
                  </pic:blipFill>
                  <pic:spPr>
                    <a:xfrm>
                      <a:off x="0" y="0"/>
                      <a:ext cx="4271645" cy="1714500"/>
                    </a:xfrm>
                    <a:prstGeom prst="rect">
                      <a:avLst/>
                    </a:prstGeom>
                    <a:noFill/>
                    <a:ln>
                      <a:noFill/>
                    </a:ln>
                  </pic:spPr>
                </pic:pic>
              </a:graphicData>
            </a:graphic>
          </wp:inline>
        </w:drawing>
      </w:r>
    </w:p>
    <w:p>
      <w:pPr>
        <w:snapToGrid w:val="0"/>
        <w:spacing w:after="180" w:afterLines="50"/>
        <w:ind w:firstLine="420"/>
        <w:jc w:val="center"/>
        <w:rPr>
          <w:rFonts w:eastAsia="宋体"/>
        </w:rPr>
      </w:pPr>
      <w:r>
        <w:rPr>
          <w:rFonts w:hint="eastAsia" w:eastAsia="宋体"/>
          <w:b/>
          <w:bCs/>
        </w:rPr>
        <w:t>Figure 1:</w:t>
      </w:r>
      <w:r>
        <w:rPr>
          <w:rFonts w:hint="eastAsia" w:eastAsia="宋体"/>
        </w:rPr>
        <w:t xml:space="preserve"> SSBs used for mobility measurement with different frequency in one cell</w:t>
      </w:r>
    </w:p>
    <w:p>
      <w:pPr>
        <w:snapToGrid w:val="0"/>
        <w:spacing w:before="180" w:beforeLines="50" w:after="180" w:afterLines="50"/>
        <w:jc w:val="both"/>
        <w:rPr>
          <w:rFonts w:eastAsiaTheme="minorEastAsia"/>
          <w:szCs w:val="20"/>
        </w:rPr>
      </w:pPr>
      <w:r>
        <w:rPr>
          <w:rFonts w:hint="eastAsia" w:eastAsiaTheme="minorEastAsia"/>
          <w:szCs w:val="20"/>
        </w:rPr>
        <w:t xml:space="preserve">When multi-TRP inter-cell operation in CA, some cell-specific parameters, such as SCS and SFN index, can be different among serving cell TRP and non-serving cell TRP. Once the non-serving cell SSB is used as QCL source RS, it means that SCS and SFN index of non-serving cell SSB can be different with the serving cell configuration. Therefore, these parameters of non-serving cell SSB also should be provided to the UE. </w:t>
      </w:r>
    </w:p>
    <w:p>
      <w:pPr>
        <w:snapToGrid w:val="0"/>
        <w:spacing w:before="180" w:beforeLines="50" w:after="180" w:afterLines="50"/>
        <w:jc w:val="both"/>
        <w:rPr>
          <w:rFonts w:eastAsia="宋体"/>
          <w:b/>
          <w:bCs/>
          <w:i/>
          <w:iCs/>
        </w:rPr>
      </w:pPr>
      <w:r>
        <w:rPr>
          <w:rFonts w:hint="eastAsia" w:eastAsia="宋体"/>
          <w:b/>
          <w:bCs/>
          <w:i/>
          <w:iCs/>
        </w:rPr>
        <w:t xml:space="preserve">Observation 1: </w:t>
      </w:r>
      <w:r>
        <w:rPr>
          <w:rFonts w:hint="eastAsia" w:eastAsiaTheme="minorEastAsia"/>
          <w:i/>
          <w:iCs/>
          <w:szCs w:val="20"/>
        </w:rPr>
        <w:t>Non-serving cell SSB used as QCL source RS for multi-TRP inter-cell operation should be one of SSBs that used for mobility measurement.</w:t>
      </w:r>
    </w:p>
    <w:p>
      <w:pPr>
        <w:snapToGrid w:val="0"/>
        <w:spacing w:before="180" w:beforeLines="50" w:after="180" w:afterLines="50"/>
        <w:jc w:val="both"/>
        <w:rPr>
          <w:i/>
          <w:iCs/>
        </w:rPr>
      </w:pPr>
      <w:r>
        <w:rPr>
          <w:rFonts w:hint="eastAsia"/>
          <w:b/>
          <w:bCs/>
          <w:i/>
          <w:iCs/>
        </w:rPr>
        <w:t xml:space="preserve">Proposal 1: </w:t>
      </w:r>
      <w:r>
        <w:rPr>
          <w:rFonts w:hint="eastAsia"/>
          <w:i/>
          <w:iCs/>
        </w:rPr>
        <w:t>Other non-serving cell SSB information</w:t>
      </w:r>
      <w:r>
        <w:rPr>
          <w:rFonts w:hint="eastAsia" w:eastAsia="宋体"/>
          <w:i/>
          <w:iCs/>
        </w:rPr>
        <w:t xml:space="preserve"> provided to UE should at least</w:t>
      </w:r>
      <w:r>
        <w:rPr>
          <w:rFonts w:hint="eastAsia"/>
          <w:i/>
          <w:iCs/>
        </w:rPr>
        <w:t xml:space="preserve"> </w:t>
      </w:r>
      <w:r>
        <w:rPr>
          <w:i/>
          <w:iCs/>
        </w:rPr>
        <w:t>includ</w:t>
      </w:r>
      <w:r>
        <w:rPr>
          <w:rFonts w:hint="eastAsia" w:eastAsia="宋体"/>
          <w:i/>
          <w:iCs/>
        </w:rPr>
        <w:t>e</w:t>
      </w:r>
      <w:r>
        <w:rPr>
          <w:rFonts w:hint="eastAsia"/>
          <w:i/>
          <w:iCs/>
        </w:rPr>
        <w:t xml:space="preserve"> center frequency, SCS, and SFN offset.</w:t>
      </w:r>
    </w:p>
    <w:p>
      <w:pPr>
        <w:snapToGrid w:val="0"/>
        <w:spacing w:before="180" w:beforeLines="50" w:after="180" w:afterLines="50"/>
        <w:jc w:val="both"/>
        <w:rPr>
          <w:i/>
          <w:iCs/>
        </w:rPr>
      </w:pPr>
    </w:p>
    <w:p>
      <w:pPr>
        <w:snapToGrid w:val="0"/>
        <w:spacing w:before="180" w:beforeLines="50" w:after="180" w:afterLines="50"/>
        <w:jc w:val="both"/>
        <w:rPr>
          <w:rFonts w:eastAsia="宋体"/>
        </w:rPr>
      </w:pPr>
      <w:r>
        <w:rPr>
          <w:rFonts w:hint="eastAsia" w:eastAsia="宋体"/>
        </w:rPr>
        <w:t xml:space="preserve">To efficiently provide the non-serving cell information and make the specifications clear, a new RRC IE can be introduced to contain all of the required information of a non-serving cell, and linked with some TCI states. </w:t>
      </w:r>
    </w:p>
    <w:p>
      <w:pPr>
        <w:snapToGrid w:val="0"/>
        <w:spacing w:before="180" w:beforeLines="50" w:after="180" w:afterLines="50"/>
        <w:jc w:val="both"/>
        <w:rPr>
          <w:rFonts w:eastAsia="宋体"/>
        </w:rPr>
      </w:pPr>
      <w:r>
        <w:rPr>
          <w:rFonts w:hint="eastAsia" w:eastAsia="宋体"/>
        </w:rPr>
        <w:t xml:space="preserve">Due to most of required non-serving cell information of SSB can be found in </w:t>
      </w:r>
      <w:r>
        <w:rPr>
          <w:rFonts w:hint="eastAsia" w:eastAsia="宋体"/>
          <w:i/>
          <w:iCs/>
          <w:szCs w:val="20"/>
        </w:rPr>
        <w:t xml:space="preserve">MeasObjectNR </w:t>
      </w:r>
      <w:r>
        <w:rPr>
          <w:rFonts w:hint="eastAsia" w:eastAsia="宋体"/>
          <w:szCs w:val="20"/>
        </w:rPr>
        <w:t xml:space="preserve">(e.g. PCIs of multiple non-serving cells, </w:t>
      </w:r>
      <w:r>
        <w:t>ARFCN-ValueNR</w:t>
      </w:r>
      <w:r>
        <w:rPr>
          <w:rFonts w:hint="eastAsia" w:eastAsia="宋体"/>
        </w:rPr>
        <w:t xml:space="preserve"> for SSB frequency, SCS, and </w:t>
      </w:r>
      <w:r>
        <w:rPr>
          <w:rFonts w:hint="eastAsia" w:eastAsia="宋体"/>
          <w:i/>
          <w:iCs/>
        </w:rPr>
        <w:t>deriveSSB-IndexFromCell</w:t>
      </w:r>
      <w:r>
        <w:rPr>
          <w:rFonts w:hint="eastAsia" w:eastAsia="宋体"/>
        </w:rPr>
        <w:t xml:space="preserve"> for SFN offset), </w:t>
      </w:r>
      <w:r>
        <w:rPr>
          <w:rFonts w:eastAsia="宋体"/>
          <w:i/>
          <w:iCs/>
          <w:szCs w:val="20"/>
        </w:rPr>
        <w:t>MeasObjectI</w:t>
      </w:r>
      <w:r>
        <w:rPr>
          <w:rFonts w:hint="eastAsia" w:eastAsia="宋体"/>
          <w:i/>
          <w:iCs/>
          <w:szCs w:val="20"/>
        </w:rPr>
        <w:t>d</w:t>
      </w:r>
      <w:r>
        <w:rPr>
          <w:rFonts w:hint="eastAsia" w:eastAsia="宋体"/>
          <w:szCs w:val="20"/>
        </w:rPr>
        <w:t xml:space="preserve"> and PCI can be included in the new IE to identify a unique SSB from the desired non-serving cell and for low spec effort. </w:t>
      </w:r>
      <w:r>
        <w:rPr>
          <w:rFonts w:hint="eastAsia" w:eastAsia="宋体"/>
        </w:rPr>
        <w:t>D</w:t>
      </w:r>
      <w:r>
        <w:rPr>
          <w:rFonts w:hint="eastAsia" w:eastAsia="宋体"/>
          <w:szCs w:val="20"/>
        </w:rPr>
        <w:t xml:space="preserve">ue to </w:t>
      </w:r>
      <w:r>
        <w:rPr>
          <w:rFonts w:hint="eastAsia" w:eastAsia="宋体"/>
          <w:i/>
          <w:iCs/>
          <w:szCs w:val="20"/>
        </w:rPr>
        <w:t>MeasObjectNR</w:t>
      </w:r>
      <w:r>
        <w:rPr>
          <w:rFonts w:hint="eastAsia" w:eastAsia="宋体"/>
          <w:szCs w:val="20"/>
        </w:rPr>
        <w:t xml:space="preserve"> for mobility measurement are always configured in RRC connected state, it makes no sense to repeatedly configure all above non-serving cell information</w:t>
      </w:r>
      <w:r>
        <w:rPr>
          <w:rFonts w:hint="eastAsia" w:eastAsia="宋体" w:cs="Times"/>
        </w:rPr>
        <w:t xml:space="preserve">. </w:t>
      </w:r>
      <w:r>
        <w:rPr>
          <w:rFonts w:hint="eastAsia" w:eastAsia="宋体"/>
          <w:szCs w:val="20"/>
        </w:rPr>
        <w:t xml:space="preserve">Thus, it is efficient to use </w:t>
      </w:r>
      <w:r>
        <w:rPr>
          <w:i/>
          <w:iCs/>
        </w:rPr>
        <w:t>MeasObjectId</w:t>
      </w:r>
      <w:r>
        <w:rPr>
          <w:rFonts w:hint="eastAsia" w:eastAsia="宋体"/>
          <w:i/>
          <w:iCs/>
        </w:rPr>
        <w:t xml:space="preserve"> </w:t>
      </w:r>
      <w:r>
        <w:rPr>
          <w:rFonts w:hint="eastAsia" w:eastAsia="宋体"/>
        </w:rPr>
        <w:t xml:space="preserve">and PCI to provide the non-serving information. </w:t>
      </w:r>
    </w:p>
    <w:p>
      <w:pPr>
        <w:snapToGrid w:val="0"/>
        <w:spacing w:before="180" w:beforeLines="50"/>
        <w:jc w:val="both"/>
        <w:rPr>
          <w:i/>
          <w:iCs/>
        </w:rPr>
      </w:pPr>
      <w:r>
        <w:rPr>
          <w:rFonts w:hint="eastAsia"/>
          <w:b/>
          <w:bCs/>
          <w:i/>
          <w:iCs/>
        </w:rPr>
        <w:t>Proposal 2:</w:t>
      </w:r>
      <w:r>
        <w:rPr>
          <w:rFonts w:hint="eastAsia"/>
          <w:i/>
          <w:iCs/>
        </w:rPr>
        <w:t xml:space="preserve"> Support to introduce a new RRC IE linking with some TCI states. </w:t>
      </w:r>
    </w:p>
    <w:p>
      <w:pPr>
        <w:pStyle w:val="122"/>
        <w:numPr>
          <w:ilvl w:val="0"/>
          <w:numId w:val="4"/>
        </w:numPr>
        <w:snapToGrid w:val="0"/>
        <w:ind w:leftChars="0" w:hanging="363"/>
        <w:jc w:val="both"/>
        <w:rPr>
          <w:rFonts w:cs="Times"/>
          <w:i/>
          <w:iCs/>
        </w:rPr>
      </w:pPr>
      <w:r>
        <w:rPr>
          <w:rFonts w:hint="eastAsia" w:cs="Times"/>
          <w:i/>
          <w:iCs/>
        </w:rPr>
        <w:t xml:space="preserve">At least </w:t>
      </w:r>
      <w:r>
        <w:rPr>
          <w:rFonts w:cs="Times"/>
          <w:i/>
          <w:iCs/>
        </w:rPr>
        <w:t>MeasObjectId</w:t>
      </w:r>
      <w:r>
        <w:rPr>
          <w:rFonts w:hint="eastAsia" w:cs="Times"/>
          <w:i/>
          <w:iCs/>
        </w:rPr>
        <w:t xml:space="preserve"> and PCI should be contained in the new IE.</w:t>
      </w:r>
    </w:p>
    <w:p>
      <w:pPr>
        <w:pStyle w:val="122"/>
        <w:numPr>
          <w:ilvl w:val="255"/>
          <w:numId w:val="0"/>
        </w:numPr>
        <w:snapToGrid w:val="0"/>
        <w:jc w:val="both"/>
        <w:rPr>
          <w:rFonts w:cs="Times"/>
          <w:i/>
          <w:iCs/>
        </w:rPr>
      </w:pPr>
    </w:p>
    <w:p>
      <w:pPr>
        <w:pStyle w:val="3"/>
        <w:snapToGrid w:val="0"/>
        <w:jc w:val="both"/>
        <w:rPr>
          <w:rFonts w:ascii="Arial" w:hAnsi="Arial" w:cs="Arial"/>
          <w:szCs w:val="22"/>
          <w:lang w:val="en-US"/>
        </w:rPr>
      </w:pPr>
      <w:r>
        <w:rPr>
          <w:rFonts w:hint="eastAsia" w:ascii="Arial" w:hAnsi="Arial" w:cs="Arial"/>
          <w:szCs w:val="22"/>
          <w:lang w:val="en-US"/>
        </w:rPr>
        <w:t>Configuration of TCI state/ QCL-info with non-serving cell SSB information</w:t>
      </w:r>
    </w:p>
    <w:p>
      <w:pPr>
        <w:snapToGrid w:val="0"/>
        <w:spacing w:before="180" w:beforeLines="50" w:after="180" w:afterLines="50"/>
        <w:jc w:val="both"/>
        <w:rPr>
          <w:rFonts w:eastAsia="宋体"/>
          <w:color w:val="000000" w:themeColor="text1"/>
          <w:szCs w:val="20"/>
          <w14:textFill>
            <w14:solidFill>
              <w14:schemeClr w14:val="tx1"/>
            </w14:solidFill>
          </w14:textFill>
        </w:rPr>
      </w:pPr>
      <w:r>
        <w:rPr>
          <w:rFonts w:hint="eastAsia" w:eastAsia="宋体"/>
          <w:color w:val="000000" w:themeColor="text1"/>
          <w:szCs w:val="20"/>
          <w14:textFill>
            <w14:solidFill>
              <w14:schemeClr w14:val="tx1"/>
            </w14:solidFill>
          </w14:textFill>
        </w:rPr>
        <w:t>Regarding how to associate TCI state/ QCL-info with non-serving cell information, five options were raised (as shown in above Agreement#3) in the last meeting. Our preference is Opt. 3 with the following reasons.</w:t>
      </w:r>
    </w:p>
    <w:p>
      <w:pPr>
        <w:snapToGrid w:val="0"/>
        <w:spacing w:before="180" w:beforeLines="50" w:after="180" w:afterLines="50"/>
        <w:jc w:val="both"/>
        <w:rPr>
          <w:rFonts w:eastAsia="宋体"/>
          <w:color w:val="000000" w:themeColor="text1"/>
          <w:szCs w:val="20"/>
          <w14:textFill>
            <w14:solidFill>
              <w14:schemeClr w14:val="tx1"/>
            </w14:solidFill>
          </w14:textFill>
        </w:rPr>
      </w:pPr>
      <w:r>
        <w:rPr>
          <w:rFonts w:hint="eastAsia" w:eastAsia="宋体"/>
          <w:color w:val="000000" w:themeColor="text1"/>
          <w:szCs w:val="20"/>
          <w14:textFill>
            <w14:solidFill>
              <w14:schemeClr w14:val="tx1"/>
            </w14:solidFill>
          </w14:textFill>
        </w:rPr>
        <w:t xml:space="preserve">In the context of that multi-TRP inter-cell operation is based on Rel-16 MDCI MTRP scheme, it means up to two TRPs can be used for this operation. Then, it is natural that one out of the two TRPs </w:t>
      </w:r>
      <w:r>
        <w:rPr>
          <w:rFonts w:eastAsia="宋体"/>
          <w:color w:val="000000" w:themeColor="text1"/>
          <w:szCs w:val="20"/>
          <w14:textFill>
            <w14:solidFill>
              <w14:schemeClr w14:val="tx1"/>
            </w14:solidFill>
          </w14:textFill>
        </w:rPr>
        <w:t xml:space="preserve">is </w:t>
      </w:r>
      <w:r>
        <w:rPr>
          <w:rFonts w:hint="eastAsia" w:eastAsia="宋体"/>
          <w:color w:val="000000" w:themeColor="text1"/>
          <w:szCs w:val="20"/>
          <w14:textFill>
            <w14:solidFill>
              <w14:schemeClr w14:val="tx1"/>
            </w14:solidFill>
          </w14:textFill>
        </w:rPr>
        <w:t>deployed in one serving cell, and the other TRP</w:t>
      </w:r>
      <w:r>
        <w:rPr>
          <w:rFonts w:eastAsia="宋体"/>
          <w:color w:val="000000" w:themeColor="text1"/>
          <w:szCs w:val="20"/>
          <w14:textFill>
            <w14:solidFill>
              <w14:schemeClr w14:val="tx1"/>
            </w14:solidFill>
          </w14:textFill>
        </w:rPr>
        <w:t xml:space="preserve"> is</w:t>
      </w:r>
      <w:r>
        <w:rPr>
          <w:rFonts w:hint="eastAsia" w:eastAsia="宋体"/>
          <w:color w:val="000000" w:themeColor="text1"/>
          <w:szCs w:val="20"/>
          <w14:textFill>
            <w14:solidFill>
              <w14:schemeClr w14:val="tx1"/>
            </w14:solidFill>
          </w14:textFill>
        </w:rPr>
        <w:t xml:space="preserve"> deployed in one non-serving cell as shown in Figure 2.</w:t>
      </w:r>
    </w:p>
    <w:p>
      <w:pPr>
        <w:snapToGrid w:val="0"/>
        <w:spacing w:before="180" w:beforeLines="50" w:after="180" w:afterLines="50"/>
        <w:jc w:val="center"/>
        <w:rPr>
          <w:szCs w:val="20"/>
        </w:rPr>
      </w:pPr>
      <w:r>
        <w:rPr>
          <w:szCs w:val="20"/>
        </w:rPr>
        <w:drawing>
          <wp:inline distT="0" distB="0" distL="114300" distR="114300">
            <wp:extent cx="4317365" cy="1435100"/>
            <wp:effectExtent l="0" t="0" r="635"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5"/>
                    <a:stretch>
                      <a:fillRect/>
                    </a:stretch>
                  </pic:blipFill>
                  <pic:spPr>
                    <a:xfrm>
                      <a:off x="0" y="0"/>
                      <a:ext cx="4317365" cy="1435100"/>
                    </a:xfrm>
                    <a:prstGeom prst="rect">
                      <a:avLst/>
                    </a:prstGeom>
                    <a:noFill/>
                    <a:ln>
                      <a:noFill/>
                    </a:ln>
                  </pic:spPr>
                </pic:pic>
              </a:graphicData>
            </a:graphic>
          </wp:inline>
        </w:drawing>
      </w:r>
    </w:p>
    <w:p>
      <w:pPr>
        <w:snapToGrid w:val="0"/>
        <w:spacing w:before="180" w:beforeLines="50" w:after="180" w:afterLines="50"/>
        <w:jc w:val="center"/>
        <w:rPr>
          <w:rFonts w:eastAsia="宋体"/>
          <w:szCs w:val="20"/>
        </w:rPr>
      </w:pPr>
      <w:r>
        <w:rPr>
          <w:rFonts w:hint="eastAsia" w:eastAsia="宋体"/>
          <w:b/>
          <w:bCs/>
          <w:szCs w:val="20"/>
        </w:rPr>
        <w:t>Figure 2:</w:t>
      </w:r>
      <w:r>
        <w:rPr>
          <w:rFonts w:hint="eastAsia" w:eastAsia="宋体"/>
          <w:szCs w:val="20"/>
        </w:rPr>
        <w:tab/>
      </w:r>
      <w:r>
        <w:rPr>
          <w:rFonts w:hint="eastAsia" w:eastAsia="宋体"/>
          <w:szCs w:val="20"/>
        </w:rPr>
        <w:t>UE receives SSBs from serving cell and non-serving cell in Multi-TRP inter-cell operation</w:t>
      </w:r>
    </w:p>
    <w:p>
      <w:pPr>
        <w:snapToGrid w:val="0"/>
        <w:spacing w:before="180" w:beforeLines="50" w:after="180" w:afterLines="50"/>
        <w:jc w:val="both"/>
        <w:rPr>
          <w:rFonts w:eastAsia="宋体"/>
          <w:color w:val="000000" w:themeColor="text1"/>
          <w:szCs w:val="20"/>
          <w14:textFill>
            <w14:solidFill>
              <w14:schemeClr w14:val="tx1"/>
            </w14:solidFill>
          </w14:textFill>
        </w:rPr>
      </w:pPr>
      <w:r>
        <w:rPr>
          <w:rFonts w:hint="eastAsia" w:eastAsia="宋体"/>
          <w:color w:val="000000" w:themeColor="text1"/>
          <w:szCs w:val="20"/>
          <w14:textFill>
            <w14:solidFill>
              <w14:schemeClr w14:val="tx1"/>
            </w14:solidFill>
          </w14:textFill>
        </w:rPr>
        <w:t xml:space="preserve">In order to support </w:t>
      </w:r>
      <w:r>
        <w:rPr>
          <w:color w:val="000000" w:themeColor="text1"/>
          <w:szCs w:val="20"/>
          <w:lang w:eastAsia="ko-KR"/>
          <w14:textFill>
            <w14:solidFill>
              <w14:schemeClr w14:val="tx1"/>
            </w14:solidFill>
          </w14:textFill>
        </w:rPr>
        <w:t>the utilization of SSBs</w:t>
      </w:r>
      <w:r>
        <w:rPr>
          <w:rFonts w:hint="eastAsia" w:eastAsia="宋体"/>
          <w:color w:val="000000" w:themeColor="text1"/>
          <w:szCs w:val="20"/>
          <w14:textFill>
            <w14:solidFill>
              <w14:schemeClr w14:val="tx1"/>
            </w14:solidFill>
          </w14:textFill>
        </w:rPr>
        <w:t xml:space="preserve"> </w:t>
      </w:r>
      <w:r>
        <w:rPr>
          <w:color w:val="000000" w:themeColor="text1"/>
          <w:szCs w:val="20"/>
          <w:lang w:eastAsia="ko-KR"/>
          <w14:textFill>
            <w14:solidFill>
              <w14:schemeClr w14:val="tx1"/>
            </w14:solidFill>
          </w14:textFill>
        </w:rPr>
        <w:t xml:space="preserve">from the </w:t>
      </w:r>
      <w:r>
        <w:rPr>
          <w:rFonts w:hint="eastAsia" w:eastAsia="宋体"/>
          <w:szCs w:val="20"/>
        </w:rPr>
        <w:t xml:space="preserve">non-serving </w:t>
      </w:r>
      <w:r>
        <w:rPr>
          <w:rFonts w:hint="eastAsia" w:eastAsia="宋体"/>
          <w:color w:val="000000" w:themeColor="text1"/>
          <w:szCs w:val="20"/>
          <w14:textFill>
            <w14:solidFill>
              <w14:schemeClr w14:val="tx1"/>
            </w14:solidFill>
          </w14:textFill>
        </w:rPr>
        <w:t>cell</w:t>
      </w:r>
      <w:r>
        <w:rPr>
          <w:color w:val="000000" w:themeColor="text1"/>
          <w:szCs w:val="20"/>
          <w:lang w:eastAsia="ko-KR"/>
          <w14:textFill>
            <w14:solidFill>
              <w14:schemeClr w14:val="tx1"/>
            </w14:solidFill>
          </w14:textFill>
        </w:rPr>
        <w:t xml:space="preserve"> TRP</w:t>
      </w:r>
      <w:r>
        <w:rPr>
          <w:rFonts w:hint="eastAsia" w:eastAsia="宋体"/>
          <w:color w:val="000000" w:themeColor="text1"/>
          <w:szCs w:val="20"/>
          <w14:textFill>
            <w14:solidFill>
              <w14:schemeClr w14:val="tx1"/>
            </w14:solidFill>
          </w14:textFill>
        </w:rPr>
        <w:t xml:space="preserve"> </w:t>
      </w:r>
      <w:r>
        <w:rPr>
          <w:color w:val="000000" w:themeColor="text1"/>
          <w:szCs w:val="20"/>
          <w:lang w:eastAsia="ko-KR"/>
          <w14:textFill>
            <w14:solidFill>
              <w14:schemeClr w14:val="tx1"/>
            </w14:solidFill>
          </w14:textFill>
        </w:rPr>
        <w:t>as the QCL source</w:t>
      </w:r>
      <w:r>
        <w:rPr>
          <w:rFonts w:hint="eastAsia" w:eastAsia="宋体"/>
          <w:color w:val="000000" w:themeColor="text1"/>
          <w:szCs w:val="20"/>
          <w14:textFill>
            <w14:solidFill>
              <w14:schemeClr w14:val="tx1"/>
            </w14:solidFill>
          </w14:textFill>
        </w:rPr>
        <w:t xml:space="preserve">, all TCI states should be split into two groups, </w:t>
      </w:r>
      <w:r>
        <w:rPr>
          <w:rFonts w:eastAsia="宋体"/>
          <w:color w:val="000000" w:themeColor="text1"/>
          <w:szCs w:val="20"/>
          <w14:textFill>
            <w14:solidFill>
              <w14:schemeClr w14:val="tx1"/>
            </w14:solidFill>
          </w14:textFill>
        </w:rPr>
        <w:t>where each of them is</w:t>
      </w:r>
      <w:r>
        <w:rPr>
          <w:rFonts w:hint="eastAsia" w:eastAsia="宋体"/>
          <w:color w:val="000000" w:themeColor="text1"/>
          <w:szCs w:val="20"/>
          <w14:textFill>
            <w14:solidFill>
              <w14:schemeClr w14:val="tx1"/>
            </w14:solidFill>
          </w14:textFill>
        </w:rPr>
        <w:t xml:space="preserve"> </w:t>
      </w:r>
      <w:r>
        <w:rPr>
          <w:rFonts w:eastAsia="宋体"/>
          <w:color w:val="000000" w:themeColor="text1"/>
          <w:szCs w:val="20"/>
          <w14:textFill>
            <w14:solidFill>
              <w14:schemeClr w14:val="tx1"/>
            </w14:solidFill>
          </w14:textFill>
        </w:rPr>
        <w:t xml:space="preserve">either </w:t>
      </w:r>
      <w:r>
        <w:rPr>
          <w:rFonts w:hint="eastAsia" w:eastAsia="宋体"/>
          <w:color w:val="000000" w:themeColor="text1"/>
          <w:szCs w:val="20"/>
          <w14:textFill>
            <w14:solidFill>
              <w14:schemeClr w14:val="tx1"/>
            </w14:solidFill>
          </w14:textFill>
        </w:rPr>
        <w:t xml:space="preserve">associated with serving cell </w:t>
      </w:r>
      <w:r>
        <w:rPr>
          <w:rFonts w:eastAsia="宋体"/>
          <w:color w:val="000000" w:themeColor="text1"/>
          <w:szCs w:val="20"/>
          <w14:textFill>
            <w14:solidFill>
              <w14:schemeClr w14:val="tx1"/>
            </w14:solidFill>
          </w14:textFill>
        </w:rPr>
        <w:t>or</w:t>
      </w:r>
      <w:r>
        <w:rPr>
          <w:rFonts w:hint="eastAsia" w:eastAsia="宋体"/>
          <w:color w:val="000000" w:themeColor="text1"/>
          <w:szCs w:val="20"/>
          <w14:textFill>
            <w14:solidFill>
              <w14:schemeClr w14:val="tx1"/>
            </w14:solidFill>
          </w14:textFill>
        </w:rPr>
        <w:t xml:space="preserve"> </w:t>
      </w:r>
      <w:r>
        <w:rPr>
          <w:rFonts w:hint="eastAsia" w:eastAsia="宋体"/>
          <w:szCs w:val="20"/>
        </w:rPr>
        <w:t xml:space="preserve">non-serving </w:t>
      </w:r>
      <w:r>
        <w:rPr>
          <w:rFonts w:hint="eastAsia" w:eastAsia="宋体"/>
          <w:color w:val="000000" w:themeColor="text1"/>
          <w:szCs w:val="20"/>
          <w14:textFill>
            <w14:solidFill>
              <w14:schemeClr w14:val="tx1"/>
            </w14:solidFill>
          </w14:textFill>
        </w:rPr>
        <w:t xml:space="preserve">cell. </w:t>
      </w:r>
    </w:p>
    <w:p>
      <w:pPr>
        <w:snapToGrid w:val="0"/>
        <w:spacing w:before="180" w:beforeLines="50" w:after="180" w:afterLines="50"/>
        <w:jc w:val="both"/>
        <w:rPr>
          <w:rFonts w:eastAsia="宋体"/>
          <w:color w:val="000000" w:themeColor="text1"/>
          <w:szCs w:val="20"/>
          <w14:textFill>
            <w14:solidFill>
              <w14:schemeClr w14:val="tx1"/>
            </w14:solidFill>
          </w14:textFill>
        </w:rPr>
      </w:pPr>
      <w:r>
        <w:rPr>
          <w:rFonts w:hint="eastAsia" w:eastAsia="宋体"/>
          <w:color w:val="000000" w:themeColor="text1"/>
          <w:szCs w:val="20"/>
          <w14:textFill>
            <w14:solidFill>
              <w14:schemeClr w14:val="tx1"/>
            </w14:solidFill>
          </w14:textFill>
        </w:rPr>
        <w:t xml:space="preserve">Furthermore, in Rel-16 NR eMIMO, the parameter </w:t>
      </w:r>
      <w:r>
        <w:rPr>
          <w:rFonts w:hint="eastAsia" w:eastAsia="宋体"/>
          <w:i/>
          <w:iCs/>
          <w:color w:val="000000" w:themeColor="text1"/>
          <w:szCs w:val="20"/>
          <w14:textFill>
            <w14:solidFill>
              <w14:schemeClr w14:val="tx1"/>
            </w14:solidFill>
          </w14:textFill>
        </w:rPr>
        <w:t>CORESETPoolIndex</w:t>
      </w:r>
      <w:r>
        <w:rPr>
          <w:rFonts w:hint="eastAsia" w:eastAsia="宋体"/>
          <w:color w:val="000000" w:themeColor="text1"/>
          <w:szCs w:val="20"/>
          <w14:textFill>
            <w14:solidFill>
              <w14:schemeClr w14:val="tx1"/>
            </w14:solidFill>
          </w14:textFill>
        </w:rPr>
        <w:t xml:space="preserve"> was introduced to support TRP specific </w:t>
      </w:r>
      <w:r>
        <w:rPr>
          <w:rFonts w:eastAsia="宋体"/>
          <w:color w:val="000000" w:themeColor="text1"/>
          <w:szCs w:val="20"/>
          <w14:textFill>
            <w14:solidFill>
              <w14:schemeClr w14:val="tx1"/>
            </w14:solidFill>
          </w14:textFill>
        </w:rPr>
        <w:t>configurations</w:t>
      </w:r>
      <w:r>
        <w:rPr>
          <w:rFonts w:hint="eastAsia" w:eastAsia="宋体"/>
          <w:color w:val="000000" w:themeColor="text1"/>
          <w:szCs w:val="20"/>
          <w14:textFill>
            <w14:solidFill>
              <w14:schemeClr w14:val="tx1"/>
            </w14:solidFill>
          </w14:textFill>
        </w:rPr>
        <w:t xml:space="preserve"> for </w:t>
      </w:r>
      <w:r>
        <w:rPr>
          <w:rFonts w:eastAsia="宋体"/>
          <w:color w:val="000000" w:themeColor="text1"/>
          <w:szCs w:val="20"/>
          <w14:textFill>
            <w14:solidFill>
              <w14:schemeClr w14:val="tx1"/>
            </w14:solidFill>
          </w14:textFill>
        </w:rPr>
        <w:t xml:space="preserve">multi-DCI based </w:t>
      </w:r>
      <w:r>
        <w:rPr>
          <w:rFonts w:hint="eastAsia" w:eastAsia="宋体"/>
          <w:color w:val="000000" w:themeColor="text1"/>
          <w:szCs w:val="20"/>
          <w14:textFill>
            <w14:solidFill>
              <w14:schemeClr w14:val="tx1"/>
            </w14:solidFill>
          </w14:textFill>
        </w:rPr>
        <w:t>Multi-TRP</w:t>
      </w:r>
      <w:r>
        <w:rPr>
          <w:rFonts w:eastAsia="宋体"/>
          <w:color w:val="000000" w:themeColor="text1"/>
          <w:szCs w:val="20"/>
          <w14:textFill>
            <w14:solidFill>
              <w14:schemeClr w14:val="tx1"/>
            </w14:solidFill>
          </w14:textFill>
        </w:rPr>
        <w:t xml:space="preserve">, such as </w:t>
      </w:r>
      <w:r>
        <w:rPr>
          <w:rFonts w:hint="eastAsia" w:eastAsia="宋体"/>
          <w:color w:val="000000" w:themeColor="text1"/>
          <w:szCs w:val="20"/>
          <w14:textFill>
            <w14:solidFill>
              <w14:schemeClr w14:val="tx1"/>
            </w14:solidFill>
          </w14:textFill>
        </w:rPr>
        <w:t>HARQ-ACK, data scrambling, default beam, power control, etc.</w:t>
      </w:r>
      <w:r>
        <w:rPr>
          <w:rFonts w:eastAsia="宋体"/>
          <w:color w:val="000000" w:themeColor="text1"/>
          <w:szCs w:val="20"/>
          <w14:textFill>
            <w14:solidFill>
              <w14:schemeClr w14:val="tx1"/>
            </w14:solidFill>
          </w14:textFill>
        </w:rPr>
        <w:t>,</w:t>
      </w:r>
      <w:r>
        <w:rPr>
          <w:rFonts w:hint="eastAsia" w:eastAsia="宋体"/>
          <w:color w:val="000000" w:themeColor="text1"/>
          <w:szCs w:val="20"/>
          <w14:textFill>
            <w14:solidFill>
              <w14:schemeClr w14:val="tx1"/>
            </w14:solidFill>
          </w14:textFill>
        </w:rPr>
        <w:t xml:space="preserve"> </w:t>
      </w:r>
      <w:r>
        <w:rPr>
          <w:rFonts w:eastAsia="宋体"/>
          <w:color w:val="000000" w:themeColor="text1"/>
          <w:szCs w:val="20"/>
          <w14:textFill>
            <w14:solidFill>
              <w14:schemeClr w14:val="tx1"/>
            </w14:solidFill>
          </w14:textFill>
        </w:rPr>
        <w:t>w</w:t>
      </w:r>
      <w:r>
        <w:rPr>
          <w:rFonts w:hint="eastAsia" w:eastAsia="宋体"/>
          <w:color w:val="000000" w:themeColor="text1"/>
          <w:szCs w:val="20"/>
          <w14:textFill>
            <w14:solidFill>
              <w14:schemeClr w14:val="tx1"/>
            </w14:solidFill>
          </w14:textFill>
        </w:rPr>
        <w:t xml:space="preserve">here, </w:t>
      </w:r>
      <w:r>
        <w:rPr>
          <w:rFonts w:hint="eastAsia" w:eastAsia="宋体"/>
          <w:i/>
          <w:iCs/>
          <w:color w:val="000000" w:themeColor="text1"/>
          <w:szCs w:val="20"/>
          <w14:textFill>
            <w14:solidFill>
              <w14:schemeClr w14:val="tx1"/>
            </w14:solidFill>
          </w14:textFill>
        </w:rPr>
        <w:t>CORESETPoolIndex</w:t>
      </w:r>
      <w:r>
        <w:rPr>
          <w:rFonts w:eastAsia="宋体"/>
          <w:color w:val="000000" w:themeColor="text1"/>
          <w:szCs w:val="20"/>
          <w14:textFill>
            <w14:solidFill>
              <w14:schemeClr w14:val="tx1"/>
            </w14:solidFill>
          </w14:textFill>
        </w:rPr>
        <w:t xml:space="preserve"> value 0 and 1 </w:t>
      </w:r>
      <w:r>
        <w:rPr>
          <w:rFonts w:hint="eastAsia" w:eastAsia="宋体"/>
          <w:color w:val="000000" w:themeColor="text1"/>
          <w:szCs w:val="20"/>
          <w14:textFill>
            <w14:solidFill>
              <w14:schemeClr w14:val="tx1"/>
            </w14:solidFill>
          </w14:textFill>
        </w:rPr>
        <w:t>corres</w:t>
      </w:r>
      <w:r>
        <w:rPr>
          <w:rFonts w:eastAsia="宋体"/>
          <w:color w:val="000000" w:themeColor="text1"/>
          <w:szCs w:val="20"/>
          <w14:textFill>
            <w14:solidFill>
              <w14:schemeClr w14:val="tx1"/>
            </w14:solidFill>
          </w14:textFill>
        </w:rPr>
        <w:t>pond to TRP 0 and TRP 1 respectively based on Rel-16 conception.</w:t>
      </w:r>
      <w:r>
        <w:rPr>
          <w:rFonts w:hint="eastAsia" w:eastAsia="宋体"/>
          <w:color w:val="000000" w:themeColor="text1"/>
          <w:szCs w:val="20"/>
          <w14:textFill>
            <w14:solidFill>
              <w14:schemeClr w14:val="tx1"/>
            </w14:solidFill>
          </w14:textFill>
        </w:rPr>
        <w:t xml:space="preserve"> To better support Multi-TRP inter-cell operation in Rel-17, </w:t>
      </w:r>
      <w:r>
        <w:rPr>
          <w:rFonts w:hint="eastAsia" w:eastAsia="宋体"/>
          <w:i/>
          <w:iCs/>
          <w:color w:val="000000" w:themeColor="text1"/>
          <w:szCs w:val="20"/>
          <w14:textFill>
            <w14:solidFill>
              <w14:schemeClr w14:val="tx1"/>
            </w14:solidFill>
          </w14:textFill>
        </w:rPr>
        <w:t xml:space="preserve">CORESETPoolIndex </w:t>
      </w:r>
      <w:r>
        <w:rPr>
          <w:rFonts w:eastAsia="宋体"/>
          <w:color w:val="000000" w:themeColor="text1"/>
          <w:szCs w:val="20"/>
          <w14:textFill>
            <w14:solidFill>
              <w14:schemeClr w14:val="tx1"/>
            </w14:solidFill>
          </w14:textFill>
        </w:rPr>
        <w:t>should</w:t>
      </w:r>
      <w:r>
        <w:rPr>
          <w:rFonts w:hint="eastAsia" w:eastAsia="宋体"/>
          <w:color w:val="000000" w:themeColor="text1"/>
          <w:szCs w:val="20"/>
          <w14:textFill>
            <w14:solidFill>
              <w14:schemeClr w14:val="tx1"/>
            </w14:solidFill>
          </w14:textFill>
        </w:rPr>
        <w:t xml:space="preserve"> be associated with the TCI groups </w:t>
      </w:r>
      <w:r>
        <w:rPr>
          <w:rFonts w:eastAsia="宋体"/>
          <w:color w:val="000000" w:themeColor="text1"/>
          <w:szCs w:val="20"/>
          <w14:textFill>
            <w14:solidFill>
              <w14:schemeClr w14:val="tx1"/>
            </w14:solidFill>
          </w14:textFill>
        </w:rPr>
        <w:t>to provide UE the information of how to associate different PCIs/TCI states with those TRP-specific parameters</w:t>
      </w:r>
      <w:r>
        <w:rPr>
          <w:rFonts w:hint="eastAsia" w:eastAsia="宋体"/>
          <w:color w:val="000000" w:themeColor="text1"/>
          <w:szCs w:val="20"/>
          <w14:textFill>
            <w14:solidFill>
              <w14:schemeClr w14:val="tx1"/>
            </w14:solidFill>
          </w14:textFill>
        </w:rPr>
        <w:t xml:space="preserve">, </w:t>
      </w:r>
      <w:r>
        <w:rPr>
          <w:rFonts w:eastAsia="宋体"/>
          <w:color w:val="000000" w:themeColor="text1"/>
          <w:szCs w:val="20"/>
          <w14:textFill>
            <w14:solidFill>
              <w14:schemeClr w14:val="tx1"/>
            </w14:solidFill>
          </w14:textFill>
        </w:rPr>
        <w:t>especially for non-ideal back</w:t>
      </w:r>
      <w:r>
        <w:rPr>
          <w:rFonts w:hint="eastAsia" w:eastAsia="宋体"/>
          <w:color w:val="000000" w:themeColor="text1"/>
          <w:szCs w:val="20"/>
          <w14:textFill>
            <w14:solidFill>
              <w14:schemeClr w14:val="tx1"/>
            </w14:solidFill>
          </w14:textFill>
        </w:rPr>
        <w:t>-</w:t>
      </w:r>
      <w:r>
        <w:rPr>
          <w:rFonts w:eastAsia="宋体"/>
          <w:color w:val="000000" w:themeColor="text1"/>
          <w:szCs w:val="20"/>
          <w14:textFill>
            <w14:solidFill>
              <w14:schemeClr w14:val="tx1"/>
            </w14:solidFill>
          </w14:textFill>
        </w:rPr>
        <w:t>haul between two TRPs which is the most typical scenario for multi-DCI based MTRP operation</w:t>
      </w:r>
      <w:r>
        <w:rPr>
          <w:rFonts w:hint="eastAsia" w:eastAsia="宋体"/>
          <w:color w:val="000000" w:themeColor="text1"/>
          <w:szCs w:val="20"/>
          <w14:textFill>
            <w14:solidFill>
              <w14:schemeClr w14:val="tx1"/>
            </w14:solidFill>
          </w14:textFill>
        </w:rPr>
        <w:t xml:space="preserve">. </w:t>
      </w:r>
    </w:p>
    <w:p>
      <w:pPr>
        <w:snapToGrid w:val="0"/>
        <w:spacing w:before="180" w:beforeLines="50" w:after="180" w:afterLines="50"/>
        <w:jc w:val="both"/>
        <w:rPr>
          <w:rFonts w:eastAsia="宋体"/>
          <w:color w:val="000000" w:themeColor="text1"/>
          <w:szCs w:val="20"/>
          <w14:textFill>
            <w14:solidFill>
              <w14:schemeClr w14:val="tx1"/>
            </w14:solidFill>
          </w14:textFill>
        </w:rPr>
      </w:pPr>
      <w:r>
        <w:rPr>
          <w:rFonts w:hint="eastAsia" w:eastAsia="宋体"/>
          <w:color w:val="000000" w:themeColor="text1"/>
          <w:szCs w:val="20"/>
          <w14:textFill>
            <w14:solidFill>
              <w14:schemeClr w14:val="tx1"/>
            </w14:solidFill>
          </w14:textFill>
        </w:rPr>
        <w:t>However</w:t>
      </w:r>
      <w:r>
        <w:rPr>
          <w:rFonts w:eastAsia="宋体"/>
          <w:color w:val="000000" w:themeColor="text1"/>
          <w:szCs w:val="20"/>
          <w14:textFill>
            <w14:solidFill>
              <w14:schemeClr w14:val="tx1"/>
            </w14:solidFill>
          </w14:textFill>
        </w:rPr>
        <w:t xml:space="preserve">, if multiple PDSCH/PDCCH transmissions corresponding to the same </w:t>
      </w:r>
      <w:r>
        <w:rPr>
          <w:rFonts w:hint="eastAsia" w:eastAsia="宋体"/>
          <w:i/>
          <w:iCs/>
          <w:color w:val="000000" w:themeColor="text1"/>
          <w:szCs w:val="20"/>
          <w14:textFill>
            <w14:solidFill>
              <w14:schemeClr w14:val="tx1"/>
            </w14:solidFill>
          </w14:textFill>
        </w:rPr>
        <w:t>CORESETPoolIndex</w:t>
      </w:r>
      <w:r>
        <w:rPr>
          <w:rFonts w:eastAsia="宋体"/>
          <w:color w:val="000000" w:themeColor="text1"/>
          <w:szCs w:val="20"/>
          <w14:textFill>
            <w14:solidFill>
              <w14:schemeClr w14:val="tx1"/>
            </w14:solidFill>
          </w14:textFill>
        </w:rPr>
        <w:t xml:space="preserve"> value are indicated with TCI states from both serving cell and non-serving cell, </w:t>
      </w:r>
      <w:r>
        <w:rPr>
          <w:rFonts w:hint="eastAsia" w:eastAsia="宋体"/>
          <w:color w:val="000000" w:themeColor="text1"/>
          <w:szCs w:val="20"/>
          <w14:textFill>
            <w14:solidFill>
              <w14:schemeClr w14:val="tx1"/>
            </w14:solidFill>
          </w14:textFill>
        </w:rPr>
        <w:t xml:space="preserve">then </w:t>
      </w:r>
      <w:r>
        <w:rPr>
          <w:rFonts w:eastAsia="宋体"/>
          <w:color w:val="000000" w:themeColor="text1"/>
          <w:szCs w:val="20"/>
          <w14:textFill>
            <w14:solidFill>
              <w14:schemeClr w14:val="tx1"/>
            </w14:solidFill>
          </w14:textFill>
        </w:rPr>
        <w:t>HARQ-ACK feedback towards to serving cell and non-serving cell will be mixe</w:t>
      </w:r>
      <w:r>
        <w:rPr>
          <w:rFonts w:hint="eastAsia" w:eastAsia="宋体"/>
          <w:color w:val="000000" w:themeColor="text1"/>
          <w:szCs w:val="20"/>
          <w14:textFill>
            <w14:solidFill>
              <w14:schemeClr w14:val="tx1"/>
            </w14:solidFill>
          </w14:textFill>
        </w:rPr>
        <w:t xml:space="preserve">d, as well as the rule on TRP-specific out-of-order of PDCCH-to-PDSCH and/or PDCCH-to-PUCCH </w:t>
      </w:r>
      <w:r>
        <w:rPr>
          <w:rFonts w:eastAsia="宋体"/>
          <w:color w:val="000000" w:themeColor="text1"/>
          <w:szCs w:val="20"/>
          <w14:textFill>
            <w14:solidFill>
              <w14:schemeClr w14:val="tx1"/>
            </w14:solidFill>
          </w14:textFill>
        </w:rPr>
        <w:t>may not be sustained</w:t>
      </w:r>
      <w:r>
        <w:rPr>
          <w:rFonts w:hint="eastAsia" w:eastAsia="宋体"/>
          <w:color w:val="000000" w:themeColor="text1"/>
          <w:szCs w:val="20"/>
          <w14:textFill>
            <w14:solidFill>
              <w14:schemeClr w14:val="tx1"/>
            </w14:solidFill>
          </w14:textFill>
        </w:rPr>
        <w:t xml:space="preserve">. </w:t>
      </w:r>
    </w:p>
    <w:p>
      <w:pPr>
        <w:snapToGrid w:val="0"/>
        <w:spacing w:before="180" w:beforeLines="50" w:after="180" w:afterLines="50"/>
        <w:jc w:val="both"/>
        <w:rPr>
          <w:rFonts w:eastAsia="宋体"/>
          <w:szCs w:val="20"/>
        </w:rPr>
      </w:pPr>
      <w:r>
        <w:rPr>
          <w:rFonts w:hint="eastAsia" w:eastAsia="宋体"/>
          <w:color w:val="000000" w:themeColor="text1"/>
          <w:szCs w:val="20"/>
          <w14:textFill>
            <w14:solidFill>
              <w14:schemeClr w14:val="tx1"/>
            </w14:solidFill>
          </w14:textFill>
        </w:rPr>
        <w:t xml:space="preserve">Based on the above discussion, </w:t>
      </w:r>
      <w:r>
        <w:rPr>
          <w:rFonts w:hint="eastAsia" w:eastAsia="宋体"/>
          <w:szCs w:val="20"/>
        </w:rPr>
        <w:t xml:space="preserve">one straight-forward way </w:t>
      </w:r>
      <w:r>
        <w:rPr>
          <w:rFonts w:eastAsia="宋体"/>
          <w:szCs w:val="20"/>
        </w:rPr>
        <w:t>is</w:t>
      </w:r>
      <w:r>
        <w:rPr>
          <w:rFonts w:hint="eastAsia" w:eastAsia="宋体"/>
          <w:szCs w:val="20"/>
        </w:rPr>
        <w:t xml:space="preserve"> to include the parameter </w:t>
      </w:r>
      <w:r>
        <w:rPr>
          <w:rFonts w:hint="eastAsia" w:cs="Times"/>
          <w:i/>
          <w:iCs/>
        </w:rPr>
        <w:t>CORESETPoolIndex</w:t>
      </w:r>
      <w:r>
        <w:rPr>
          <w:rFonts w:hint="eastAsia" w:cs="Times"/>
        </w:rPr>
        <w:t xml:space="preserve">, which also can be </w:t>
      </w:r>
      <w:r>
        <w:rPr>
          <w:rFonts w:hint="eastAsia" w:eastAsia="宋体" w:cs="Times"/>
        </w:rPr>
        <w:t xml:space="preserve">treated </w:t>
      </w:r>
      <w:r>
        <w:rPr>
          <w:rFonts w:hint="eastAsia" w:cs="Times"/>
        </w:rPr>
        <w:t xml:space="preserve">as an indicator, </w:t>
      </w:r>
      <w:r>
        <w:rPr>
          <w:rFonts w:hint="eastAsia" w:eastAsia="宋体"/>
          <w:szCs w:val="20"/>
        </w:rPr>
        <w:t xml:space="preserve">in </w:t>
      </w:r>
      <w:r>
        <w:rPr>
          <w:rFonts w:eastAsia="宋体"/>
          <w:szCs w:val="20"/>
        </w:rPr>
        <w:t>some TCI states</w:t>
      </w:r>
      <w:r>
        <w:rPr>
          <w:rFonts w:hint="eastAsia" w:eastAsia="宋体"/>
          <w:szCs w:val="20"/>
        </w:rPr>
        <w:t xml:space="preserve"> </w:t>
      </w:r>
      <w:r>
        <w:rPr>
          <w:rFonts w:cs="Times"/>
        </w:rPr>
        <w:t>to indicate the non-serving cell information</w:t>
      </w:r>
      <w:r>
        <w:rPr>
          <w:rFonts w:hint="eastAsia" w:eastAsia="宋体" w:cs="Times"/>
        </w:rPr>
        <w:t xml:space="preserve"> which </w:t>
      </w:r>
      <w:r>
        <w:rPr>
          <w:rFonts w:cs="Times"/>
        </w:rPr>
        <w:t>is associated with</w:t>
      </w:r>
      <w:r>
        <w:rPr>
          <w:rFonts w:eastAsia="宋体"/>
          <w:color w:val="000000" w:themeColor="text1"/>
          <w:szCs w:val="20"/>
          <w14:textFill>
            <w14:solidFill>
              <w14:schemeClr w14:val="tx1"/>
            </w14:solidFill>
          </w14:textFill>
        </w:rPr>
        <w:t>.</w:t>
      </w:r>
      <w:r>
        <w:rPr>
          <w:rFonts w:hint="eastAsia" w:eastAsia="宋体"/>
          <w:color w:val="000000" w:themeColor="text1"/>
          <w:szCs w:val="20"/>
          <w14:textFill>
            <w14:solidFill>
              <w14:schemeClr w14:val="tx1"/>
            </w14:solidFill>
          </w14:textFill>
        </w:rPr>
        <w:t xml:space="preserve"> By this way, the spec will be clearer for both Rel-16 and Rel-17 MTRP.</w:t>
      </w:r>
    </w:p>
    <w:p>
      <w:pPr>
        <w:snapToGrid w:val="0"/>
        <w:spacing w:before="180" w:beforeLines="50"/>
        <w:jc w:val="both"/>
        <w:rPr>
          <w:rFonts w:eastAsia="宋体"/>
          <w:i/>
          <w:iCs/>
          <w:szCs w:val="20"/>
        </w:rPr>
      </w:pPr>
      <w:r>
        <w:rPr>
          <w:rFonts w:hint="eastAsia" w:eastAsia="宋体"/>
          <w:b/>
          <w:bCs/>
          <w:i/>
          <w:iCs/>
          <w:szCs w:val="20"/>
        </w:rPr>
        <w:t>Proposal 3:</w:t>
      </w:r>
      <w:r>
        <w:rPr>
          <w:rFonts w:hint="eastAsia" w:eastAsia="宋体"/>
          <w:i/>
          <w:iCs/>
          <w:szCs w:val="20"/>
        </w:rPr>
        <w:t xml:space="preserve"> For the configuration TCI state/ QCL-info with non-serving cell SSB information, support Opt. 3 that all TCI states should be split into two groups which corresponding to serving cell and non-serving cell, respectively.</w:t>
      </w:r>
    </w:p>
    <w:p>
      <w:pPr>
        <w:pStyle w:val="122"/>
        <w:numPr>
          <w:ilvl w:val="0"/>
          <w:numId w:val="4"/>
        </w:numPr>
        <w:snapToGrid w:val="0"/>
        <w:spacing w:after="180" w:afterLines="50"/>
        <w:ind w:leftChars="0" w:hanging="363"/>
        <w:jc w:val="both"/>
        <w:rPr>
          <w:rFonts w:cs="Times"/>
          <w:i/>
          <w:iCs/>
        </w:rPr>
      </w:pPr>
      <w:r>
        <w:rPr>
          <w:rFonts w:hint="eastAsia" w:cs="Times"/>
          <w:i/>
          <w:iCs/>
        </w:rPr>
        <w:t>Each group of TCI states is associated with a CORESETPoolIndex value.</w:t>
      </w:r>
    </w:p>
    <w:p>
      <w:pPr>
        <w:pStyle w:val="122"/>
        <w:numPr>
          <w:ilvl w:val="255"/>
          <w:numId w:val="0"/>
        </w:numPr>
        <w:snapToGrid w:val="0"/>
        <w:spacing w:before="180" w:beforeLines="50" w:after="180" w:afterLines="50"/>
        <w:jc w:val="both"/>
        <w:rPr>
          <w:rFonts w:cs="Times"/>
          <w:i/>
          <w:iCs/>
        </w:rPr>
      </w:pPr>
    </w:p>
    <w:p>
      <w:pPr>
        <w:pStyle w:val="3"/>
        <w:snapToGrid w:val="0"/>
        <w:jc w:val="both"/>
        <w:rPr>
          <w:rFonts w:ascii="Arial" w:hAnsi="Arial" w:cs="Arial"/>
          <w:szCs w:val="22"/>
          <w:lang w:val="en-US"/>
        </w:rPr>
      </w:pPr>
      <w:r>
        <w:rPr>
          <w:rFonts w:hint="eastAsia" w:ascii="Arial" w:hAnsi="Arial" w:cs="Arial"/>
          <w:szCs w:val="22"/>
          <w:lang w:val="en-US"/>
        </w:rPr>
        <w:t>Other QCL source from non-serving cell</w:t>
      </w:r>
    </w:p>
    <w:p>
      <w:pPr>
        <w:snapToGrid w:val="0"/>
        <w:spacing w:before="180" w:beforeLines="50" w:after="180" w:afterLines="50"/>
        <w:jc w:val="both"/>
        <w:rPr>
          <w:rStyle w:val="120"/>
          <w:rFonts w:eastAsia="宋体"/>
        </w:rPr>
      </w:pPr>
      <w:r>
        <w:rPr>
          <w:rStyle w:val="120"/>
          <w:rFonts w:hint="eastAsia" w:eastAsia="宋体"/>
        </w:rPr>
        <w:t>S</w:t>
      </w:r>
      <w:r>
        <w:rPr>
          <w:rStyle w:val="120"/>
          <w:rFonts w:eastAsia="宋体"/>
        </w:rPr>
        <w:t xml:space="preserve">o far, SSB from a non-serving cell has been agreed to be QCL source RS to facilitate inter-cell MTRP operation, and whether to support CSI-RS for mobility from a non-serving cell as QCL source is still FFS. </w:t>
      </w:r>
    </w:p>
    <w:p>
      <w:pPr>
        <w:snapToGrid w:val="0"/>
        <w:spacing w:before="180" w:beforeLines="50" w:after="180" w:afterLines="50"/>
        <w:jc w:val="both"/>
        <w:rPr>
          <w:rStyle w:val="120"/>
          <w:rFonts w:eastAsia="宋体"/>
        </w:rPr>
      </w:pPr>
      <w:r>
        <w:rPr>
          <w:rStyle w:val="120"/>
          <w:rFonts w:eastAsia="宋体"/>
        </w:rPr>
        <w:t xml:space="preserve">In our view, </w:t>
      </w:r>
      <w:r>
        <w:rPr>
          <w:rFonts w:eastAsia="宋体"/>
        </w:rPr>
        <w:t>CSI-RS for mobility can also be QCL source to speed up UE Rx beam sweeping</w:t>
      </w:r>
      <w:r>
        <w:rPr>
          <w:rFonts w:hint="eastAsia" w:eastAsia="宋体"/>
          <w:lang w:val="en-US" w:eastAsia="zh-CN"/>
        </w:rPr>
        <w:t>,</w:t>
      </w:r>
      <w:r>
        <w:rPr>
          <w:rFonts w:hint="eastAsia" w:eastAsia="宋体"/>
        </w:rPr>
        <w:t xml:space="preserve"> </w:t>
      </w:r>
      <w:r>
        <w:rPr>
          <w:rFonts w:eastAsia="宋体"/>
        </w:rPr>
        <w:t xml:space="preserve">save power </w:t>
      </w:r>
      <w:r>
        <w:rPr>
          <w:rFonts w:hint="default" w:eastAsia="宋体"/>
          <w:lang w:val="en-US"/>
        </w:rPr>
        <w:t xml:space="preserve">of </w:t>
      </w:r>
      <w:r>
        <w:rPr>
          <w:rFonts w:eastAsia="宋体"/>
        </w:rPr>
        <w:t>UE</w:t>
      </w:r>
      <w:r>
        <w:rPr>
          <w:rFonts w:hint="eastAsia" w:eastAsia="宋体"/>
        </w:rPr>
        <w:t xml:space="preserve">, reduce </w:t>
      </w:r>
      <w:r>
        <w:rPr>
          <w:rFonts w:eastAsia="宋体"/>
        </w:rPr>
        <w:t xml:space="preserve">overhead of signaling and </w:t>
      </w:r>
      <w:r>
        <w:rPr>
          <w:rFonts w:hint="eastAsia" w:eastAsia="宋体"/>
        </w:rPr>
        <w:t xml:space="preserve">reuse </w:t>
      </w:r>
      <w:r>
        <w:rPr>
          <w:rFonts w:eastAsia="宋体"/>
        </w:rPr>
        <w:t xml:space="preserve">measurement signal transmitted from gNB. Specifically, the UE can use RX beam or other large-scale channel parameters derived from CSI-RS for mobility to receive signal from </w:t>
      </w:r>
      <w:r>
        <w:rPr>
          <w:rStyle w:val="120"/>
          <w:rFonts w:eastAsia="宋体"/>
        </w:rPr>
        <w:t>non-serving</w:t>
      </w:r>
      <w:r>
        <w:rPr>
          <w:rFonts w:eastAsia="宋体"/>
        </w:rPr>
        <w:t xml:space="preserve"> cell. </w:t>
      </w:r>
      <w:r>
        <w:rPr>
          <w:rFonts w:hint="eastAsia" w:eastAsia="宋体"/>
        </w:rPr>
        <w:t xml:space="preserve">In addition, compared with SSB for mobility, </w:t>
      </w:r>
      <w:r>
        <w:rPr>
          <w:rStyle w:val="120"/>
          <w:rFonts w:eastAsia="宋体"/>
        </w:rPr>
        <w:t>CSI-RS</w:t>
      </w:r>
      <w:r>
        <w:rPr>
          <w:rStyle w:val="120"/>
          <w:rFonts w:hint="eastAsia" w:eastAsia="宋体"/>
        </w:rPr>
        <w:t xml:space="preserve"> for</w:t>
      </w:r>
      <w:r>
        <w:rPr>
          <w:rStyle w:val="120"/>
          <w:rFonts w:eastAsia="宋体"/>
        </w:rPr>
        <w:t xml:space="preserve"> mobility has larger bandwidth, which can provide more accurate QCL derivation</w:t>
      </w:r>
      <w:r>
        <w:rPr>
          <w:rStyle w:val="120"/>
          <w:rFonts w:hint="eastAsia" w:eastAsia="宋体"/>
        </w:rPr>
        <w:t xml:space="preserve"> and </w:t>
      </w:r>
      <w:r>
        <w:rPr>
          <w:rStyle w:val="120"/>
          <w:rFonts w:eastAsia="宋体"/>
        </w:rPr>
        <w:t>can be implemented with narrower beam. Thus</w:t>
      </w:r>
      <w:r>
        <w:rPr>
          <w:rStyle w:val="120"/>
          <w:rFonts w:hint="eastAsia" w:eastAsia="宋体"/>
        </w:rPr>
        <w:t xml:space="preserve"> </w:t>
      </w:r>
      <w:r>
        <w:rPr>
          <w:rStyle w:val="120"/>
          <w:rFonts w:eastAsia="宋体"/>
        </w:rPr>
        <w:t>it is more suitable to be QCL source of PDSCH in terms of TypeD since PDSCH usually uses narrow beam for transmission.</w:t>
      </w:r>
      <w:r>
        <w:rPr>
          <w:rStyle w:val="120"/>
          <w:rFonts w:hint="eastAsia" w:eastAsia="宋体"/>
        </w:rPr>
        <w:t xml:space="preserve"> Furthermore, using CSI-RS for mobility as QCL source can support more flexible scenarios, especially when considering some </w:t>
      </w:r>
      <w:r>
        <w:rPr>
          <w:rStyle w:val="120"/>
          <w:rFonts w:eastAsia="宋体"/>
        </w:rPr>
        <w:t>non-serving</w:t>
      </w:r>
      <w:r>
        <w:rPr>
          <w:rStyle w:val="120"/>
          <w:rFonts w:hint="eastAsia" w:eastAsia="宋体"/>
        </w:rPr>
        <w:t xml:space="preserve"> cells only transmit CSI-RS for mobility but </w:t>
      </w:r>
      <w:r>
        <w:rPr>
          <w:rStyle w:val="120"/>
          <w:rFonts w:eastAsia="宋体"/>
        </w:rPr>
        <w:t xml:space="preserve">does </w:t>
      </w:r>
      <w:r>
        <w:rPr>
          <w:rStyle w:val="120"/>
          <w:rFonts w:hint="eastAsia" w:eastAsia="宋体"/>
        </w:rPr>
        <w:t>not</w:t>
      </w:r>
      <w:r>
        <w:rPr>
          <w:rStyle w:val="120"/>
          <w:rFonts w:eastAsia="宋体"/>
        </w:rPr>
        <w:t xml:space="preserve"> transmit</w:t>
      </w:r>
      <w:r>
        <w:rPr>
          <w:rStyle w:val="120"/>
          <w:rFonts w:hint="eastAsia" w:eastAsia="宋体"/>
        </w:rPr>
        <w:t xml:space="preserve"> SSB. </w:t>
      </w:r>
      <w:r>
        <w:rPr>
          <w:rStyle w:val="120"/>
          <w:rFonts w:eastAsia="宋体"/>
        </w:rPr>
        <w:t xml:space="preserve"> </w:t>
      </w:r>
      <w:r>
        <w:rPr>
          <w:rStyle w:val="120"/>
          <w:rFonts w:hint="eastAsia" w:eastAsia="宋体"/>
        </w:rPr>
        <w:t xml:space="preserve">In the light of </w:t>
      </w:r>
      <w:r>
        <w:rPr>
          <w:rStyle w:val="120"/>
          <w:rFonts w:eastAsia="宋体"/>
        </w:rPr>
        <w:t xml:space="preserve">the </w:t>
      </w:r>
      <w:r>
        <w:rPr>
          <w:rStyle w:val="120"/>
          <w:rFonts w:hint="eastAsia" w:eastAsia="宋体"/>
        </w:rPr>
        <w:t>above discussion, it should be supported to use non-serving cell CSI-RS for mobility as the QCL source for MTRP inter-cell transmission.</w:t>
      </w:r>
    </w:p>
    <w:p>
      <w:pPr>
        <w:snapToGrid w:val="0"/>
        <w:spacing w:before="180" w:beforeLines="50" w:after="180" w:afterLines="50"/>
        <w:jc w:val="both"/>
        <w:rPr>
          <w:rStyle w:val="120"/>
          <w:rFonts w:eastAsia="宋体"/>
          <w:i/>
          <w:iCs/>
        </w:rPr>
      </w:pPr>
      <w:r>
        <w:rPr>
          <w:rStyle w:val="120"/>
          <w:rFonts w:hint="eastAsia" w:eastAsia="宋体"/>
          <w:b/>
          <w:bCs/>
          <w:i/>
          <w:iCs/>
        </w:rPr>
        <w:t>Proposal 4:</w:t>
      </w:r>
      <w:r>
        <w:rPr>
          <w:rStyle w:val="120"/>
          <w:rFonts w:hint="eastAsia" w:eastAsia="宋体"/>
          <w:i/>
          <w:iCs/>
        </w:rPr>
        <w:t xml:space="preserve"> Supported to use non-serving cell CSI-RS for mobility as the QCL source for MTRP inter-cell transmission.</w:t>
      </w:r>
    </w:p>
    <w:p>
      <w:pPr>
        <w:pStyle w:val="3"/>
        <w:snapToGrid w:val="0"/>
        <w:jc w:val="both"/>
        <w:rPr>
          <w:rFonts w:ascii="Arial" w:hAnsi="Arial" w:cs="Arial"/>
          <w:szCs w:val="22"/>
          <w:lang w:val="en-US"/>
        </w:rPr>
      </w:pPr>
      <w:r>
        <w:rPr>
          <w:rFonts w:hint="eastAsia" w:ascii="Arial" w:hAnsi="Arial" w:cs="Arial"/>
          <w:szCs w:val="22"/>
          <w:lang w:val="en-US"/>
        </w:rPr>
        <w:t>Enhancement on UL transmission</w:t>
      </w:r>
    </w:p>
    <w:p>
      <w:pPr>
        <w:snapToGrid w:val="0"/>
        <w:spacing w:before="180" w:beforeLines="50" w:after="180" w:afterLines="50"/>
        <w:jc w:val="both"/>
        <w:rPr>
          <w:rFonts w:eastAsia="宋体"/>
        </w:rPr>
      </w:pPr>
      <w:r>
        <w:rPr>
          <w:rFonts w:hint="eastAsia" w:eastAsia="宋体"/>
        </w:rPr>
        <w:t xml:space="preserve">On power control for UL transmission in Rel-15/16, either SSB or NZP-CSI-RS can be used as path-loss reference RS. Accordingly, when it comes to MTRP inter-cell operation, it is reasonable to support the non-serving cell SSB and CSI-RS for mobility to be used for path-loss measurement. Based on that, such non-serving cell PL-RS should be able to distinguish from the serving-cell PL-RS. One intuitive way is to use </w:t>
      </w:r>
      <w:r>
        <w:rPr>
          <w:rFonts w:eastAsia="宋体"/>
        </w:rPr>
        <w:t xml:space="preserve">an </w:t>
      </w:r>
      <w:r>
        <w:rPr>
          <w:rFonts w:hint="eastAsia" w:eastAsia="宋体"/>
        </w:rPr>
        <w:t>indicator in PL-RS</w:t>
      </w:r>
      <w:r>
        <w:rPr>
          <w:rFonts w:eastAsia="宋体"/>
        </w:rPr>
        <w:t xml:space="preserve"> configuration</w:t>
      </w:r>
      <w:r>
        <w:rPr>
          <w:rFonts w:hint="eastAsia" w:eastAsia="宋体"/>
        </w:rPr>
        <w:t xml:space="preserve"> to indicate the cell where it comes from.</w:t>
      </w:r>
    </w:p>
    <w:p>
      <w:pPr>
        <w:snapToGrid w:val="0"/>
        <w:spacing w:before="180" w:beforeLines="50" w:after="180" w:afterLines="50"/>
        <w:jc w:val="both"/>
        <w:rPr>
          <w:rFonts w:eastAsia="宋体"/>
          <w:i/>
          <w:iCs/>
        </w:rPr>
      </w:pPr>
      <w:r>
        <w:rPr>
          <w:rFonts w:hint="eastAsia" w:eastAsia="宋体"/>
          <w:b/>
          <w:bCs/>
          <w:i/>
          <w:iCs/>
        </w:rPr>
        <w:t>Proposal 5:</w:t>
      </w:r>
      <w:r>
        <w:rPr>
          <w:rFonts w:hint="eastAsia" w:eastAsia="宋体"/>
          <w:i/>
          <w:iCs/>
        </w:rPr>
        <w:t xml:space="preserve"> Support non-serving cell SSB and CSI-RS for mobility can be configured as the PL-RS for uplink transmission.</w:t>
      </w:r>
    </w:p>
    <w:p>
      <w:pPr>
        <w:snapToGrid w:val="0"/>
        <w:rPr>
          <w:rFonts w:eastAsia="宋体"/>
          <w:i/>
          <w:iCs/>
        </w:rPr>
      </w:pPr>
    </w:p>
    <w:p>
      <w:pPr>
        <w:pStyle w:val="3"/>
        <w:snapToGrid w:val="0"/>
        <w:jc w:val="both"/>
        <w:rPr>
          <w:rFonts w:ascii="Arial" w:hAnsi="Arial" w:cs="Arial"/>
          <w:szCs w:val="22"/>
          <w:lang w:val="en-US"/>
        </w:rPr>
      </w:pPr>
      <w:r>
        <w:rPr>
          <w:rFonts w:hint="eastAsia" w:ascii="Arial" w:hAnsi="Arial" w:cs="Arial"/>
          <w:szCs w:val="22"/>
          <w:lang w:val="en-US"/>
        </w:rPr>
        <w:t>Sequence generation of non-serving cell TRS</w:t>
      </w:r>
    </w:p>
    <w:p>
      <w:pPr>
        <w:snapToGrid w:val="0"/>
        <w:spacing w:before="180" w:beforeLines="50" w:after="180" w:afterLines="50"/>
        <w:jc w:val="both"/>
        <w:rPr>
          <w:rStyle w:val="120"/>
          <w:rFonts w:eastAsia="宋体"/>
          <w:color w:val="000000" w:themeColor="text1"/>
          <w14:textFill>
            <w14:solidFill>
              <w14:schemeClr w14:val="tx1"/>
            </w14:solidFill>
          </w14:textFill>
        </w:rPr>
      </w:pPr>
      <w:r>
        <w:rPr>
          <w:rStyle w:val="120"/>
          <w:rFonts w:eastAsia="宋体"/>
        </w:rPr>
        <w:t>In the current specification</w:t>
      </w:r>
      <w:r>
        <w:rPr>
          <w:rStyle w:val="120"/>
          <w:rFonts w:hint="eastAsia" w:eastAsia="宋体"/>
        </w:rPr>
        <w:t>s</w:t>
      </w:r>
      <w:r>
        <w:rPr>
          <w:rStyle w:val="120"/>
          <w:rFonts w:eastAsia="宋体"/>
        </w:rPr>
        <w:t>, the whole TCI indication framework is TRS centric. TRS is the major RS for UE to track different types of QCL parameters. Hence it is necessary to track TRS from neighbor cell as QCL source as well.</w:t>
      </w:r>
      <w:r>
        <w:rPr>
          <w:rStyle w:val="120"/>
          <w:rFonts w:hint="eastAsia" w:eastAsia="宋体"/>
        </w:rPr>
        <w:t xml:space="preserve"> Furthermore, one key issue is about how to correctly initialize its sequence generation. Specifically, a</w:t>
      </w:r>
      <w:r>
        <w:rPr>
          <w:rStyle w:val="120"/>
          <w:rFonts w:eastAsia="宋体"/>
        </w:rPr>
        <w:t>s virtual cell ID of TRS can be configured by gNB flexi</w:t>
      </w:r>
      <w:r>
        <w:rPr>
          <w:rStyle w:val="120"/>
          <w:rFonts w:eastAsia="宋体"/>
          <w:color w:val="000000" w:themeColor="text1"/>
          <w14:textFill>
            <w14:solidFill>
              <w14:schemeClr w14:val="tx1"/>
            </w14:solidFill>
          </w14:textFill>
        </w:rPr>
        <w:t>bly,</w:t>
      </w:r>
      <w:r>
        <w:rPr>
          <w:rStyle w:val="120"/>
          <w:rFonts w:hint="eastAsia" w:eastAsia="宋体"/>
          <w:color w:val="000000" w:themeColor="text1"/>
          <w14:textFill>
            <w14:solidFill>
              <w14:schemeClr w14:val="tx1"/>
            </w14:solidFill>
          </w14:textFill>
        </w:rPr>
        <w:t xml:space="preserve"> sequence generation of non-serving cell TRS should be based on the </w:t>
      </w:r>
      <w:r>
        <w:rPr>
          <w:rStyle w:val="120"/>
          <w:rFonts w:eastAsia="宋体"/>
          <w:bCs/>
        </w:rPr>
        <w:t xml:space="preserve">slot index of </w:t>
      </w:r>
      <w:r>
        <w:rPr>
          <w:rStyle w:val="120"/>
          <w:rFonts w:hint="eastAsia" w:eastAsia="宋体"/>
          <w:bCs/>
        </w:rPr>
        <w:t xml:space="preserve">the </w:t>
      </w:r>
      <w:r>
        <w:rPr>
          <w:rFonts w:hint="eastAsia" w:eastAsia="宋体"/>
        </w:rPr>
        <w:t xml:space="preserve">non-serving </w:t>
      </w:r>
      <w:r>
        <w:rPr>
          <w:rStyle w:val="120"/>
          <w:rFonts w:eastAsia="宋体"/>
          <w:bCs/>
        </w:rPr>
        <w:t>cell</w:t>
      </w:r>
      <w:r>
        <w:rPr>
          <w:rStyle w:val="120"/>
          <w:rFonts w:hint="eastAsia" w:eastAsia="宋体"/>
          <w:bCs/>
        </w:rPr>
        <w:t>.</w:t>
      </w:r>
      <w:r>
        <w:rPr>
          <w:rStyle w:val="120"/>
          <w:rFonts w:eastAsia="宋体"/>
          <w:color w:val="000000" w:themeColor="text1"/>
          <w14:textFill>
            <w14:solidFill>
              <w14:schemeClr w14:val="tx1"/>
            </w14:solidFill>
          </w14:textFill>
        </w:rPr>
        <w:t xml:space="preserve"> </w:t>
      </w:r>
    </w:p>
    <w:p>
      <w:pPr>
        <w:snapToGrid w:val="0"/>
        <w:spacing w:before="180" w:beforeLines="50" w:after="180" w:afterLines="50"/>
        <w:jc w:val="both"/>
        <w:rPr>
          <w:rStyle w:val="120"/>
          <w:rFonts w:eastAsia="宋体"/>
        </w:rPr>
      </w:pPr>
      <w:r>
        <w:rPr>
          <w:rStyle w:val="120"/>
          <w:rFonts w:hint="eastAsia" w:eastAsia="宋体"/>
        </w:rPr>
        <w:t>In the current specifications, UE assume</w:t>
      </w:r>
      <w:r>
        <w:rPr>
          <w:rStyle w:val="120"/>
          <w:rFonts w:eastAsia="宋体"/>
        </w:rPr>
        <w:t>s</w:t>
      </w:r>
      <w:r>
        <w:rPr>
          <w:rStyle w:val="120"/>
          <w:rFonts w:hint="eastAsia" w:eastAsia="宋体"/>
        </w:rPr>
        <w:t xml:space="preserve"> the sequence generation for TRS with the following two formulas [2].</w:t>
      </w:r>
    </w:p>
    <w:p>
      <w:pPr>
        <w:snapToGrid w:val="0"/>
        <w:spacing w:before="180" w:beforeLines="50" w:after="180" w:afterLines="50"/>
        <w:jc w:val="center"/>
        <w:rPr>
          <w:rStyle w:val="120"/>
          <w:rFonts w:eastAsia="宋体"/>
        </w:rPr>
      </w:pPr>
      <w:r>
        <w:rPr>
          <w:position w:val="-26"/>
        </w:rPr>
        <w:object>
          <v:shape id="_x0000_i1025" o:spt="75" type="#_x0000_t75" style="height:29.25pt;width:187.1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p>
    <w:p>
      <w:pPr>
        <w:snapToGrid w:val="0"/>
        <w:spacing w:before="180" w:beforeLines="50" w:after="180" w:afterLines="50"/>
        <w:jc w:val="both"/>
        <w:rPr>
          <w:rStyle w:val="120"/>
          <w:rFonts w:eastAsia="宋体"/>
        </w:rPr>
      </w:pPr>
      <m:oMathPara>
        <m:oMath>
          <m:sSub>
            <m:sSubPr>
              <m:ctrlPr>
                <w:rPr>
                  <w:rFonts w:ascii="Cambria Math" w:hAnsi="Cambria Math"/>
                </w:rPr>
              </m:ctrlPr>
            </m:sSubPr>
            <m:e>
              <m:r>
                <w:rPr>
                  <w:rFonts w:ascii="Cambria Math" w:hAnsi="Cambria Math"/>
                </w:rPr>
                <m:t>c</m:t>
              </m:r>
              <m:ctrlPr>
                <w:rPr>
                  <w:rFonts w:ascii="Cambria Math" w:hAnsi="Cambria Math"/>
                </w:rPr>
              </m:ctrlPr>
            </m:e>
            <m:sub>
              <m:r>
                <m:rPr>
                  <m:nor/>
                  <m:sty m:val="p"/>
                </m:rPr>
                <m:t>init</m:t>
              </m:r>
              <m:ctrlPr>
                <w:rPr>
                  <w:rFonts w:ascii="Cambria Math" w:hAnsi="Cambria Math"/>
                </w:rPr>
              </m:ctrlP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ctrlPr>
                    <w:rPr>
                      <w:rFonts w:ascii="Cambria Math" w:hAnsi="Cambria Math"/>
                    </w:rPr>
                  </m:ctrlPr>
                </m:e>
                <m:sup>
                  <m:r>
                    <m:rPr>
                      <m:sty m:val="p"/>
                    </m:rPr>
                    <w:rPr>
                      <w:rFonts w:ascii="Cambria Math" w:hAnsi="Cambria Math"/>
                    </w:rPr>
                    <m:t>10</m:t>
                  </m:r>
                  <m:ctrlPr>
                    <w:rPr>
                      <w:rFonts w:ascii="Cambria Math" w:hAnsi="Cambria Math"/>
                    </w:rPr>
                  </m:ctrlPr>
                </m:sup>
              </m:sSup>
              <m:d>
                <m:dPr>
                  <m:ctrlPr>
                    <w:rPr>
                      <w:rFonts w:ascii="Cambria Math" w:hAnsi="Cambria Math"/>
                    </w:rPr>
                  </m:ctrlPr>
                </m:dPr>
                <m:e>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m:t>symb</m:t>
                      </m:r>
                      <m:ctrlPr>
                        <w:rPr>
                          <w:rFonts w:ascii="Cambria Math" w:hAnsi="Cambria Math"/>
                        </w:rPr>
                      </m:ctrlPr>
                    </m:sub>
                    <m:sup>
                      <m:r>
                        <m:rPr>
                          <m:nor/>
                          <m:sty m:val="p"/>
                        </m:rPr>
                        <m:t>slot</m:t>
                      </m:r>
                      <m:ctrlPr>
                        <w:rPr>
                          <w:rFonts w:ascii="Cambria Math" w:hAnsi="Cambria Math"/>
                        </w:rPr>
                      </m:ctrlPr>
                    </m:sup>
                  </m:sSubSup>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m:t>s,f</m:t>
                      </m:r>
                      <m:ctrlPr>
                        <w:rPr>
                          <w:rFonts w:ascii="Cambria Math" w:hAnsi="Cambria Math"/>
                        </w:rPr>
                      </m:ctrlPr>
                    </m:sub>
                    <m:sup>
                      <m:r>
                        <w:rPr>
                          <w:rFonts w:ascii="Cambria Math" w:hAnsi="Cambria Math"/>
                        </w:rPr>
                        <m:t>μ</m:t>
                      </m:r>
                      <m:ctrlPr>
                        <w:rPr>
                          <w:rFonts w:ascii="Cambria Math" w:hAnsi="Cambria Math"/>
                        </w:rPr>
                      </m:ctrlPr>
                    </m:sup>
                  </m:sSubSup>
                  <m:r>
                    <m:rPr>
                      <m:sty m:val="p"/>
                    </m:rPr>
                    <w:rPr>
                      <w:rFonts w:ascii="Cambria Math" w:hAnsi="Cambria Math"/>
                    </w:rPr>
                    <m:t>+</m:t>
                  </m:r>
                  <m:r>
                    <w:rPr>
                      <w:rFonts w:ascii="Cambria Math" w:hAnsi="Cambria Math"/>
                    </w:rPr>
                    <m:t>l</m:t>
                  </m:r>
                  <m:r>
                    <m:rPr>
                      <m:sty m:val="p"/>
                    </m:rPr>
                    <w:rPr>
                      <w:rFonts w:ascii="Cambria Math" w:hAnsi="Cambria Math"/>
                    </w:rPr>
                    <m:t>+1</m:t>
                  </m:r>
                  <m:ctrlPr>
                    <w:rPr>
                      <w:rFonts w:ascii="Cambria Math" w:hAnsi="Cambria Math"/>
                    </w:rPr>
                  </m:ctrlP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ctrlPr>
                        <w:rPr>
                          <w:rFonts w:ascii="Cambria Math" w:hAnsi="Cambria Math"/>
                        </w:rPr>
                      </m:ctrlPr>
                    </m:e>
                    <m:sub>
                      <m:r>
                        <m:rPr>
                          <m:nor/>
                          <m:sty m:val="p"/>
                        </m:rPr>
                        <m:t>ID</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rPr>
                <m:t>+</m:t>
              </m:r>
              <m:sSub>
                <m:sSubPr>
                  <m:ctrlPr>
                    <w:rPr>
                      <w:rFonts w:ascii="Cambria Math" w:hAnsi="Cambria Math"/>
                    </w:rPr>
                  </m:ctrlPr>
                </m:sSubPr>
                <m:e>
                  <m:r>
                    <w:rPr>
                      <w:rFonts w:ascii="Cambria Math" w:hAnsi="Cambria Math"/>
                    </w:rPr>
                    <m:t>n</m:t>
                  </m:r>
                  <m:ctrlPr>
                    <w:rPr>
                      <w:rFonts w:ascii="Cambria Math" w:hAnsi="Cambria Math"/>
                    </w:rPr>
                  </m:ctrlPr>
                </m:e>
                <m:sub>
                  <m:r>
                    <m:rPr>
                      <m:nor/>
                      <m:sty m:val="p"/>
                    </m:rPr>
                    <m:t>ID</m:t>
                  </m:r>
                  <m:ctrlPr>
                    <w:rPr>
                      <w:rFonts w:ascii="Cambria Math" w:hAnsi="Cambria Math"/>
                    </w:rPr>
                  </m:ctrlPr>
                </m:sub>
              </m:sSub>
              <m:ctrlPr>
                <w:rPr>
                  <w:rFonts w:ascii="Cambria Math" w:hAnsi="Cambria Math"/>
                </w:rPr>
              </m:ctrlPr>
            </m:e>
          </m:d>
          <m:r>
            <m:rPr>
              <m:nor/>
              <m:sty m:val="p"/>
            </m:rPr>
            <m:t>mod</m:t>
          </m:r>
          <m:sSup>
            <m:sSupPr>
              <m:ctrlPr>
                <w:rPr>
                  <w:rFonts w:ascii="Cambria Math" w:hAnsi="Cambria Math"/>
                </w:rPr>
              </m:ctrlPr>
            </m:sSupPr>
            <m:e>
              <m:r>
                <m:rPr>
                  <m:sty m:val="p"/>
                </m:rPr>
                <w:rPr>
                  <w:rFonts w:ascii="Cambria Math" w:hAnsi="Cambria Math"/>
                </w:rPr>
                <m:t>2</m:t>
              </m:r>
              <m:ctrlPr>
                <w:rPr>
                  <w:rFonts w:ascii="Cambria Math" w:hAnsi="Cambria Math"/>
                </w:rPr>
              </m:ctrlPr>
            </m:e>
            <m:sup>
              <m:r>
                <m:rPr>
                  <m:sty m:val="p"/>
                </m:rPr>
                <w:rPr>
                  <w:rFonts w:ascii="Cambria Math" w:hAnsi="Cambria Math"/>
                </w:rPr>
                <m:t>31</m:t>
              </m:r>
              <m:ctrlPr>
                <w:rPr>
                  <w:rFonts w:ascii="Cambria Math" w:hAnsi="Cambria Math"/>
                </w:rPr>
              </m:ctrlPr>
            </m:sup>
          </m:sSup>
        </m:oMath>
      </m:oMathPara>
    </w:p>
    <w:p>
      <w:pPr>
        <w:snapToGrid w:val="0"/>
        <w:spacing w:before="180" w:beforeLines="50" w:after="180" w:afterLines="50"/>
        <w:jc w:val="both"/>
        <w:rPr>
          <w:rFonts w:eastAsia="宋体"/>
        </w:rPr>
      </w:pPr>
      <w:r>
        <w:t xml:space="preserve">where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rPr>
              <m:t>s,f</m:t>
            </m:r>
            <m:ctrlPr>
              <w:rPr>
                <w:rFonts w:ascii="Cambria Math" w:hAnsi="Cambria Math"/>
                <w:i/>
              </w:rPr>
            </m:ctrlPr>
          </m:sub>
          <m:sup>
            <m:r>
              <w:rPr>
                <w:rFonts w:ascii="Cambria Math" w:hAnsi="Cambria Math"/>
              </w:rPr>
              <m:t>μ</m:t>
            </m:r>
            <m:ctrlPr>
              <w:rPr>
                <w:rFonts w:ascii="Cambria Math" w:hAnsi="Cambria Math"/>
                <w:i/>
              </w:rPr>
            </m:ctrlPr>
          </m:sup>
        </m:sSubSup>
      </m:oMath>
      <w:r>
        <w:t xml:space="preserve"> is the slot number within a radio frame</w:t>
      </w:r>
      <w:r>
        <w:rPr>
          <w:rFonts w:hint="eastAsia" w:eastAsia="宋体"/>
        </w:rPr>
        <w:t>.</w:t>
      </w:r>
    </w:p>
    <w:p>
      <w:pPr>
        <w:snapToGrid w:val="0"/>
        <w:spacing w:before="180" w:beforeLines="50" w:after="180" w:afterLines="50"/>
        <w:jc w:val="both"/>
        <w:rPr>
          <w:rStyle w:val="120"/>
          <w:rFonts w:eastAsia="宋体"/>
          <w:color w:val="000000" w:themeColor="text1"/>
          <w14:textFill>
            <w14:solidFill>
              <w14:schemeClr w14:val="tx1"/>
            </w14:solidFill>
          </w14:textFill>
        </w:rPr>
      </w:pPr>
      <w:r>
        <w:rPr>
          <w:rStyle w:val="120"/>
          <w:rFonts w:hint="eastAsia" w:eastAsia="宋体"/>
        </w:rPr>
        <w:t xml:space="preserve">As shown in Figure 3, UE 1 may receive TRS 1 from the serving cell and TRS 2 from the non-serving cell in the scenario of Multi-TRP inter-cell operation. Meanwhile, TRS 2 is also configured to and received by UE 2 which only connects with the non-serving cell of UE 1. Here, we assume that slot index associated to TRS 1 is denoted as </w:t>
      </w:r>
      <w:r>
        <w:rPr>
          <w:rStyle w:val="120"/>
          <w:rFonts w:hint="eastAsia" w:eastAsia="宋体"/>
          <w:i/>
          <w:iCs/>
        </w:rPr>
        <w:t>x</w:t>
      </w:r>
      <w:r>
        <w:rPr>
          <w:rStyle w:val="120"/>
          <w:rFonts w:hint="eastAsia" w:eastAsia="宋体"/>
        </w:rPr>
        <w:t xml:space="preserve"> and slot index associated to TRS 2 is denoted as </w:t>
      </w:r>
      <w:r>
        <w:rPr>
          <w:rStyle w:val="120"/>
          <w:rFonts w:hint="eastAsia" w:eastAsia="宋体"/>
          <w:i/>
          <w:iCs/>
        </w:rPr>
        <w:t>y.</w:t>
      </w:r>
      <w:r>
        <w:rPr>
          <w:rStyle w:val="120"/>
          <w:rFonts w:hint="eastAsia" w:eastAsia="宋体"/>
        </w:rPr>
        <w:t xml:space="preserve"> Due to the configuration of serving cell and </w:t>
      </w:r>
      <w:r>
        <w:rPr>
          <w:rFonts w:hint="eastAsia" w:eastAsia="宋体"/>
        </w:rPr>
        <w:t>neighbor</w:t>
      </w:r>
      <w:r>
        <w:rPr>
          <w:rStyle w:val="120"/>
          <w:rFonts w:hint="eastAsia" w:eastAsia="宋体"/>
        </w:rPr>
        <w:t xml:space="preserve"> cell is irrelevant in some scenarios, the configured values of </w:t>
      </w:r>
      <w:r>
        <w:rPr>
          <w:rStyle w:val="120"/>
          <w:rFonts w:hint="eastAsia" w:eastAsia="宋体"/>
          <w:i/>
          <w:iCs/>
        </w:rPr>
        <w:t>x</w:t>
      </w:r>
      <w:r>
        <w:rPr>
          <w:rStyle w:val="120"/>
          <w:rFonts w:hint="eastAsia" w:eastAsia="宋体"/>
        </w:rPr>
        <w:t xml:space="preserve"> and </w:t>
      </w:r>
      <w:r>
        <w:rPr>
          <w:rStyle w:val="120"/>
          <w:rFonts w:hint="eastAsia" w:eastAsia="宋体"/>
          <w:i/>
          <w:iCs/>
        </w:rPr>
        <w:t>y</w:t>
      </w:r>
      <w:r>
        <w:rPr>
          <w:rStyle w:val="120"/>
          <w:rFonts w:hint="eastAsia" w:eastAsia="宋体"/>
        </w:rPr>
        <w:t xml:space="preserve"> </w:t>
      </w:r>
      <w:r>
        <w:rPr>
          <w:rStyle w:val="120"/>
          <w:rFonts w:eastAsia="宋体"/>
        </w:rPr>
        <w:t>are mutually</w:t>
      </w:r>
      <w:r>
        <w:rPr>
          <w:rStyle w:val="120"/>
          <w:rFonts w:hint="eastAsia" w:eastAsia="宋体"/>
        </w:rPr>
        <w:t xml:space="preserve"> independent. It should be noted that UE 1 can report</w:t>
      </w:r>
      <w:r>
        <w:rPr>
          <w:rFonts w:cs="Arial"/>
        </w:rPr>
        <w:t xml:space="preserve"> frame timing difference</w:t>
      </w:r>
      <w:r>
        <w:rPr>
          <w:rFonts w:hint="eastAsia" w:eastAsia="宋体" w:cs="Arial"/>
        </w:rPr>
        <w:t xml:space="preserve"> between serving cell and neighbor cell in an L3 measurement reporting according to TS38.331. The frame timing difference </w:t>
      </w:r>
      <w:r>
        <w:rPr>
          <w:rFonts w:hint="eastAsia" w:eastAsia="宋体" w:cs="Arial"/>
          <w:color w:val="000000" w:themeColor="text1"/>
          <w14:textFill>
            <w14:solidFill>
              <w14:schemeClr w14:val="tx1"/>
            </w14:solidFill>
          </w14:textFill>
        </w:rPr>
        <w:t>between serving cell and neighbor cell is smaller than 5ms according to the description in TS 38.211 as shown in following table</w:t>
      </w:r>
      <w:r>
        <w:rPr>
          <w:rFonts w:eastAsia="宋体" w:cs="Arial"/>
          <w:color w:val="000000" w:themeColor="text1"/>
          <w14:textFill>
            <w14:solidFill>
              <w14:schemeClr w14:val="tx1"/>
            </w14:solidFill>
          </w14:textFill>
        </w:rPr>
        <w:t>.</w:t>
      </w:r>
      <w:r>
        <w:rPr>
          <w:rStyle w:val="120"/>
          <w:rFonts w:hint="eastAsia" w:eastAsia="宋体"/>
          <w:color w:val="000000" w:themeColor="text1"/>
          <w14:textFill>
            <w14:solidFill>
              <w14:schemeClr w14:val="tx1"/>
            </w14:solidFill>
          </w14:textFill>
        </w:rPr>
        <w:t xml:space="preserve"> Consequently, the slot number </w:t>
      </w:r>
      <m:oMath>
        <m:sSubSup>
          <m:sSubSupPr>
            <m:ctrlPr>
              <w:rPr>
                <w:rFonts w:ascii="Cambria Math" w:hAnsi="Cambria Math"/>
                <w:i/>
                <w:color w:val="000000" w:themeColor="text1"/>
                <w14:textFill>
                  <w14:solidFill>
                    <w14:schemeClr w14:val="tx1"/>
                  </w14:solidFill>
                </w14:textFill>
              </w:rPr>
            </m:ctrlPr>
          </m:sSubSupPr>
          <m:e>
            <m:r>
              <w:rPr>
                <w:rFonts w:ascii="Cambria Math" w:hAnsi="Cambria Math"/>
                <w:color w:val="000000" w:themeColor="text1"/>
                <w14:textFill>
                  <w14:solidFill>
                    <w14:schemeClr w14:val="tx1"/>
                  </w14:solidFill>
                </w14:textFill>
              </w:rPr>
              <m:t>n</m:t>
            </m:r>
            <m:ctrlPr>
              <w:rPr>
                <w:rFonts w:ascii="Cambria Math" w:hAnsi="Cambria Math"/>
                <w:i/>
                <w:color w:val="000000" w:themeColor="text1"/>
                <w14:textFill>
                  <w14:solidFill>
                    <w14:schemeClr w14:val="tx1"/>
                  </w14:solidFill>
                </w14:textFill>
              </w:rPr>
            </m:ctrlPr>
          </m:e>
          <m:sub>
            <m:r>
              <m:rPr>
                <m:nor/>
                <m:sty m:val="p"/>
              </m:rPr>
              <w:rPr>
                <w:rFonts w:ascii="Cambria Math" w:hAnsi="Cambria Math"/>
                <w:color w:val="000000" w:themeColor="text1"/>
                <w14:textFill>
                  <w14:solidFill>
                    <w14:schemeClr w14:val="tx1"/>
                  </w14:solidFill>
                </w14:textFill>
              </w:rPr>
              <m:t>s,f</m:t>
            </m:r>
            <m:ctrlPr>
              <w:rPr>
                <w:rFonts w:ascii="Cambria Math" w:hAnsi="Cambria Math"/>
                <w:i/>
                <w:color w:val="000000" w:themeColor="text1"/>
                <w14:textFill>
                  <w14:solidFill>
                    <w14:schemeClr w14:val="tx1"/>
                  </w14:solidFill>
                </w14:textFill>
              </w:rPr>
            </m:ctrlPr>
          </m:sub>
          <m:sup>
            <m:r>
              <w:rPr>
                <w:rFonts w:ascii="Cambria Math" w:hAnsi="Cambria Math"/>
                <w:color w:val="000000" w:themeColor="text1"/>
                <w14:textFill>
                  <w14:solidFill>
                    <w14:schemeClr w14:val="tx1"/>
                  </w14:solidFill>
                </w14:textFill>
              </w:rPr>
              <m:t>μ</m:t>
            </m:r>
            <m:ctrlPr>
              <w:rPr>
                <w:rFonts w:ascii="Cambria Math" w:hAnsi="Cambria Math"/>
                <w:i/>
                <w:color w:val="000000" w:themeColor="text1"/>
                <w14:textFill>
                  <w14:solidFill>
                    <w14:schemeClr w14:val="tx1"/>
                  </w14:solidFill>
                </w14:textFill>
              </w:rPr>
            </m:ctrlPr>
          </m:sup>
        </m:sSubSup>
      </m:oMath>
      <w:r>
        <w:rPr>
          <w:color w:val="000000" w:themeColor="text1"/>
          <w14:textFill>
            <w14:solidFill>
              <w14:schemeClr w14:val="tx1"/>
            </w14:solidFill>
          </w14:textFill>
        </w:rPr>
        <w:t xml:space="preserve"> </w:t>
      </w:r>
      <w:r>
        <w:rPr>
          <w:rStyle w:val="120"/>
          <w:rFonts w:hint="eastAsia" w:eastAsia="宋体"/>
          <w:color w:val="000000" w:themeColor="text1"/>
          <w14:textFill>
            <w14:solidFill>
              <w14:schemeClr w14:val="tx1"/>
            </w14:solidFill>
          </w14:textFill>
        </w:rPr>
        <w:t>of serving cell and neighbor cell can be different in some scenarios.</w:t>
      </w:r>
    </w:p>
    <w:p>
      <w:pPr>
        <w:snapToGrid w:val="0"/>
        <w:spacing w:before="180" w:beforeLines="50" w:after="180" w:afterLines="50"/>
        <w:jc w:val="center"/>
      </w:pPr>
      <w:r>
        <w:drawing>
          <wp:inline distT="0" distB="0" distL="114300" distR="114300">
            <wp:extent cx="4289425" cy="1399540"/>
            <wp:effectExtent l="0" t="0" r="3175" b="1016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4289425" cy="1399540"/>
                    </a:xfrm>
                    <a:prstGeom prst="rect">
                      <a:avLst/>
                    </a:prstGeom>
                    <a:noFill/>
                    <a:ln>
                      <a:noFill/>
                    </a:ln>
                  </pic:spPr>
                </pic:pic>
              </a:graphicData>
            </a:graphic>
          </wp:inline>
        </w:drawing>
      </w:r>
    </w:p>
    <w:p>
      <w:pPr>
        <w:snapToGrid w:val="0"/>
        <w:spacing w:before="180" w:beforeLines="50" w:after="180" w:afterLines="50"/>
        <w:jc w:val="center"/>
        <w:rPr>
          <w:rStyle w:val="120"/>
          <w:rFonts w:eastAsia="宋体"/>
          <w:color w:val="000000" w:themeColor="text1"/>
          <w14:textFill>
            <w14:solidFill>
              <w14:schemeClr w14:val="tx1"/>
            </w14:solidFill>
          </w14:textFill>
        </w:rPr>
      </w:pPr>
      <w:r>
        <w:rPr>
          <w:rFonts w:hint="eastAsia" w:eastAsia="宋体"/>
          <w:b/>
          <w:bCs/>
        </w:rPr>
        <w:t>Figure 3:</w:t>
      </w:r>
      <w:r>
        <w:rPr>
          <w:rFonts w:hint="eastAsia" w:eastAsia="宋体"/>
        </w:rPr>
        <w:tab/>
      </w:r>
      <w:r>
        <w:rPr>
          <w:rFonts w:hint="eastAsia" w:eastAsia="宋体"/>
        </w:rPr>
        <w:t>TRS with respective SFN of Multi-TRP inter-cell operation</w:t>
      </w:r>
    </w:p>
    <w:tbl>
      <w:tblPr>
        <w:tblStyle w:val="29"/>
        <w:tblW w:w="9354"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4" w:type="dxa"/>
          </w:tcPr>
          <w:p>
            <w:pPr>
              <w:snapToGrid w:val="0"/>
              <w:spacing w:before="180" w:beforeLines="50" w:after="180" w:afterLines="50"/>
              <w:jc w:val="both"/>
              <w:rPr>
                <w:b/>
                <w:bCs/>
              </w:rPr>
            </w:pPr>
            <w:r>
              <w:rPr>
                <w:rStyle w:val="120"/>
                <w:rFonts w:hint="eastAsia" w:eastAsia="宋体"/>
                <w:b/>
                <w:bCs/>
              </w:rPr>
              <w:t xml:space="preserve">TS 38.211, Subclause </w:t>
            </w:r>
            <w:r>
              <w:rPr>
                <w:b/>
                <w:bCs/>
              </w:rPr>
              <w:t>6.3.3.2</w:t>
            </w:r>
            <w:r>
              <w:rPr>
                <w:b/>
                <w:bCs/>
              </w:rPr>
              <w:tab/>
            </w:r>
            <w:r>
              <w:rPr>
                <w:b/>
                <w:bCs/>
              </w:rPr>
              <w:t>Mapping to physical resource</w:t>
            </w:r>
          </w:p>
          <w:p>
            <w:pPr>
              <w:snapToGrid w:val="0"/>
              <w:spacing w:before="180" w:beforeLines="50" w:after="180" w:afterLines="50"/>
              <w:jc w:val="both"/>
              <w:rPr>
                <w:rFonts w:eastAsia="宋体"/>
                <w:i/>
                <w:iCs/>
              </w:rPr>
            </w:pPr>
            <w:r>
              <w:rPr>
                <w:rFonts w:hint="eastAsia" w:eastAsia="宋体"/>
                <w:i/>
                <w:iCs/>
              </w:rPr>
              <w:t>&lt;Omitted Part&gt;</w:t>
            </w:r>
          </w:p>
          <w:p>
            <w:pPr>
              <w:snapToGrid w:val="0"/>
              <w:spacing w:before="180" w:beforeLines="50" w:after="180" w:afterLines="50"/>
              <w:jc w:val="both"/>
              <w:rPr>
                <w:rFonts w:eastAsia="Batang"/>
              </w:rPr>
            </w:pPr>
            <w:r>
              <w:t xml:space="preserve">For handover purposes to a target cell in paired or unpaired spectrum where the target cell uses </w:t>
            </w:r>
            <m:oMath>
              <m:sSub>
                <m:sSubPr>
                  <m:ctrlPr>
                    <w:rPr>
                      <w:rFonts w:ascii="Cambria Math" w:hAnsi="Cambria Math"/>
                      <w:i/>
                    </w:rPr>
                  </m:ctrlPr>
                </m:sSubPr>
                <m:e>
                  <m:r>
                    <w:rPr>
                      <w:rFonts w:ascii="Cambria Math" w:hAnsi="Cambria Math"/>
                    </w:rPr>
                    <m:t>L</m:t>
                  </m:r>
                  <m:ctrlPr>
                    <w:rPr>
                      <w:rFonts w:ascii="Cambria Math" w:hAnsi="Cambria Math"/>
                      <w:i/>
                    </w:rPr>
                  </m:ctrlPr>
                </m:e>
                <m:sub>
                  <m:r>
                    <m:rPr>
                      <m:nor/>
                      <m:sty m:val="p"/>
                    </m:rPr>
                    <w:rPr>
                      <w:rFonts w:ascii="Cambria Math" w:hAnsi="Cambria Math"/>
                    </w:rPr>
                    <m:t>max</m:t>
                  </m:r>
                  <m:ctrlPr>
                    <w:rPr>
                      <w:rFonts w:ascii="Cambria Math" w:hAnsi="Cambria Math"/>
                      <w:i/>
                    </w:rPr>
                  </m:ctrlPr>
                </m:sub>
              </m:sSub>
              <m:r>
                <w:rPr>
                  <w:rFonts w:ascii="Cambria Math" w:hAnsi="Cambria Math"/>
                </w:rPr>
                <m:t>=4</m:t>
              </m:r>
            </m:oMath>
            <w:r>
              <w:t xml:space="preserve">, the </w:t>
            </w:r>
            <w:r>
              <w:rPr>
                <w:rFonts w:eastAsia="Batang"/>
                <w:szCs w:val="24"/>
              </w:rPr>
              <w:t xml:space="preserve">UE may assume the absolute value of the time difference between radio frame </w:t>
            </w:r>
            <m:oMath>
              <m:r>
                <w:rPr>
                  <w:rFonts w:ascii="Cambria Math" w:hAnsi="Cambria Math" w:eastAsia="Batang"/>
                  <w:szCs w:val="24"/>
                </w:rPr>
                <m:t>i</m:t>
              </m:r>
            </m:oMath>
            <w:r>
              <w:rPr>
                <w:rFonts w:eastAsia="Batang"/>
                <w:szCs w:val="24"/>
              </w:rPr>
              <w:t xml:space="preserve"> in the current cell and radio frame</w:t>
            </w:r>
            <w:r>
              <w:rPr>
                <w:rFonts w:eastAsia="Batang"/>
                <w:i/>
                <w:szCs w:val="24"/>
              </w:rPr>
              <w:t xml:space="preserve"> </w:t>
            </w:r>
            <m:oMath>
              <m:r>
                <w:rPr>
                  <w:rFonts w:ascii="Cambria Math" w:hAnsi="Cambria Math" w:eastAsia="Batang"/>
                  <w:szCs w:val="24"/>
                </w:rPr>
                <m:t>i</m:t>
              </m:r>
            </m:oMath>
            <w:r>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ctrlPr>
                    <w:rPr>
                      <w:rFonts w:ascii="Cambria Math" w:hAnsi="Cambria Math"/>
                      <w:i/>
                    </w:rPr>
                  </m:ctrlPr>
                </m:e>
                <m:sub>
                  <m:r>
                    <m:rPr>
                      <m:nor/>
                      <m:sty m:val="p"/>
                    </m:rPr>
                    <w:rPr>
                      <w:rFonts w:ascii="Cambria Math" w:hAnsi="Cambria Math"/>
                    </w:rPr>
                    <m:t>s</m:t>
                  </m:r>
                  <m:ctrlPr>
                    <w:rPr>
                      <w:rFonts w:ascii="Cambria Math" w:hAnsi="Cambria Math"/>
                      <w:i/>
                    </w:rPr>
                  </m:ctrlPr>
                </m:sub>
              </m:sSub>
            </m:oMath>
            <w:r>
              <w:rPr>
                <w:rFonts w:eastAsia="Batang"/>
              </w:rPr>
              <w:t xml:space="preserve"> if the association pattern period in clause 8.1 of [5, TS 38.213] is not equal to 10 ms.</w:t>
            </w:r>
          </w:p>
          <w:p>
            <w:pPr>
              <w:snapToGrid w:val="0"/>
              <w:spacing w:before="180" w:beforeLines="50" w:after="180" w:afterLines="50"/>
              <w:jc w:val="both"/>
              <w:rPr>
                <w:rStyle w:val="120"/>
                <w:rFonts w:eastAsia="宋体"/>
              </w:rPr>
            </w:pPr>
            <w:r>
              <w:rPr>
                <w:rFonts w:hint="eastAsia" w:eastAsia="宋体"/>
                <w:i/>
                <w:iCs/>
              </w:rPr>
              <w:t>&lt;Omitted Part&gt;</w:t>
            </w:r>
          </w:p>
        </w:tc>
      </w:tr>
    </w:tbl>
    <w:p>
      <w:pPr>
        <w:snapToGrid w:val="0"/>
        <w:spacing w:before="180" w:beforeLines="50" w:after="180" w:afterLines="50"/>
        <w:jc w:val="both"/>
        <w:rPr>
          <w:color w:val="000000" w:themeColor="text1"/>
          <w14:textFill>
            <w14:solidFill>
              <w14:schemeClr w14:val="tx1"/>
            </w14:solidFill>
          </w14:textFill>
        </w:rPr>
      </w:pPr>
      <w:r>
        <w:rPr>
          <w:rStyle w:val="120"/>
          <w:rFonts w:hint="eastAsia" w:eastAsia="宋体"/>
        </w:rPr>
        <w:t xml:space="preserve">If UE 1 assumes the sequence generation for neighbor cell TRS 2 based on the serving cell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rPr>
              <m:t>s,f</m:t>
            </m:r>
            <m:ctrlPr>
              <w:rPr>
                <w:rFonts w:ascii="Cambria Math" w:hAnsi="Cambria Math"/>
                <w:i/>
              </w:rPr>
            </m:ctrlPr>
          </m:sub>
          <m:sup>
            <m:r>
              <w:rPr>
                <w:rFonts w:ascii="Cambria Math" w:hAnsi="Cambria Math"/>
              </w:rPr>
              <m:t>μ</m:t>
            </m:r>
            <m:ctrlPr>
              <w:rPr>
                <w:rFonts w:ascii="Cambria Math" w:hAnsi="Cambria Math"/>
                <w:i/>
              </w:rPr>
            </m:ctrlPr>
          </m:sup>
        </m:sSubSup>
      </m:oMath>
      <w:r>
        <w:rPr>
          <w:rStyle w:val="120"/>
          <w:rFonts w:hint="eastAsia" w:eastAsia="宋体"/>
        </w:rPr>
        <w:t>,</w:t>
      </w:r>
      <w:r>
        <w:t xml:space="preserve"> </w:t>
      </w:r>
      <w:r>
        <w:rPr>
          <w:rFonts w:hint="eastAsia" w:eastAsia="宋体"/>
        </w:rPr>
        <w:t xml:space="preserve">the neighbor cell TRP must transmit TRS 2 based on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rPr>
              <m:t>s,f</m:t>
            </m:r>
            <m:ctrlPr>
              <w:rPr>
                <w:rFonts w:ascii="Cambria Math" w:hAnsi="Cambria Math"/>
                <w:i/>
              </w:rPr>
            </m:ctrlPr>
          </m:sub>
          <m:sup>
            <m:r>
              <w:rPr>
                <w:rFonts w:ascii="Cambria Math" w:hAnsi="Cambria Math"/>
              </w:rPr>
              <m:t>μ</m:t>
            </m:r>
            <m:ctrlPr>
              <w:rPr>
                <w:rFonts w:ascii="Cambria Math" w:hAnsi="Cambria Math"/>
                <w:i/>
              </w:rPr>
            </m:ctrlPr>
          </m:sup>
        </m:sSubSup>
      </m:oMath>
      <w:r>
        <w:rPr>
          <w:rFonts w:hint="eastAsia" w:eastAsia="宋体"/>
        </w:rPr>
        <w:t xml:space="preserve">. In such case, TRS 2 cannot be shared </w:t>
      </w:r>
      <w:r>
        <w:rPr>
          <w:rFonts w:eastAsia="宋体"/>
        </w:rPr>
        <w:t>between</w:t>
      </w:r>
      <w:r>
        <w:rPr>
          <w:rFonts w:hint="eastAsia" w:eastAsia="宋体"/>
        </w:rPr>
        <w:t xml:space="preserve"> UE 1 and some other UE</w:t>
      </w:r>
      <w:r>
        <w:rPr>
          <w:rFonts w:eastAsia="宋体"/>
        </w:rPr>
        <w:t>s</w:t>
      </w:r>
      <w:r>
        <w:rPr>
          <w:rFonts w:hint="eastAsia" w:eastAsia="宋体"/>
        </w:rPr>
        <w:t xml:space="preserve"> (such as</w:t>
      </w:r>
      <w:r>
        <w:rPr>
          <w:rFonts w:hint="eastAsia" w:eastAsia="宋体"/>
          <w:color w:val="000000" w:themeColor="text1"/>
          <w14:textFill>
            <w14:solidFill>
              <w14:schemeClr w14:val="tx1"/>
            </w14:solidFill>
          </w14:textFill>
        </w:rPr>
        <w:t xml:space="preserve"> UE 2 in Figure 3) connected </w:t>
      </w:r>
      <w:r>
        <w:rPr>
          <w:rFonts w:eastAsia="宋体"/>
          <w:color w:val="000000" w:themeColor="text1"/>
          <w14:textFill>
            <w14:solidFill>
              <w14:schemeClr w14:val="tx1"/>
            </w14:solidFill>
          </w14:textFill>
        </w:rPr>
        <w:t>to</w:t>
      </w:r>
      <w:r>
        <w:rPr>
          <w:rFonts w:hint="eastAsia" w:eastAsia="宋体"/>
          <w:color w:val="000000" w:themeColor="text1"/>
          <w14:textFill>
            <w14:solidFill>
              <w14:schemeClr w14:val="tx1"/>
            </w14:solidFill>
          </w14:textFill>
        </w:rPr>
        <w:t xml:space="preserve"> the neighbor cell.</w:t>
      </w:r>
      <w:r>
        <w:rPr>
          <w:rStyle w:val="120"/>
          <w:rFonts w:hint="eastAsia" w:eastAsia="宋体"/>
          <w:color w:val="000000" w:themeColor="text1"/>
          <w14:textFill>
            <w14:solidFill>
              <w14:schemeClr w14:val="tx1"/>
            </w14:solidFill>
          </w14:textFill>
        </w:rPr>
        <w:t xml:space="preserve"> </w:t>
      </w:r>
      <w:r>
        <w:rPr>
          <w:rFonts w:eastAsia="宋体"/>
          <w:color w:val="000000" w:themeColor="text1"/>
          <w14:textFill>
            <w14:solidFill>
              <w14:schemeClr w14:val="tx1"/>
            </w14:solidFill>
          </w14:textFill>
        </w:rPr>
        <w:t>Then it costs large TRS overhead.</w:t>
      </w:r>
      <w:r>
        <w:rPr>
          <w:rStyle w:val="120"/>
          <w:rFonts w:hint="eastAsia" w:eastAsia="宋体"/>
          <w:color w:val="000000" w:themeColor="text1"/>
          <w14:textFill>
            <w14:solidFill>
              <w14:schemeClr w14:val="tx1"/>
            </w14:solidFill>
          </w14:textFill>
        </w:rPr>
        <w:t xml:space="preserve"> In order to address this issue, sequence generations for TRS from serving cell and TRS from neighbor cell should be based on its respective slot index </w:t>
      </w:r>
      <m:oMath>
        <m:sSubSup>
          <m:sSubSupPr>
            <m:ctrlPr>
              <w:rPr>
                <w:rFonts w:ascii="Cambria Math" w:hAnsi="Cambria Math"/>
                <w:i/>
                <w:color w:val="000000" w:themeColor="text1"/>
                <w14:textFill>
                  <w14:solidFill>
                    <w14:schemeClr w14:val="tx1"/>
                  </w14:solidFill>
                </w14:textFill>
              </w:rPr>
            </m:ctrlPr>
          </m:sSubSupPr>
          <m:e>
            <m:r>
              <w:rPr>
                <w:rFonts w:ascii="Cambria Math" w:hAnsi="Cambria Math"/>
                <w:color w:val="000000" w:themeColor="text1"/>
                <w14:textFill>
                  <w14:solidFill>
                    <w14:schemeClr w14:val="tx1"/>
                  </w14:solidFill>
                </w14:textFill>
              </w:rPr>
              <m:t>n</m:t>
            </m:r>
            <m:ctrlPr>
              <w:rPr>
                <w:rFonts w:ascii="Cambria Math" w:hAnsi="Cambria Math"/>
                <w:i/>
                <w:color w:val="000000" w:themeColor="text1"/>
                <w14:textFill>
                  <w14:solidFill>
                    <w14:schemeClr w14:val="tx1"/>
                  </w14:solidFill>
                </w14:textFill>
              </w:rPr>
            </m:ctrlPr>
          </m:e>
          <m:sub>
            <m:r>
              <m:rPr>
                <m:nor/>
                <m:sty m:val="p"/>
              </m:rPr>
              <w:rPr>
                <w:rFonts w:ascii="Cambria Math" w:hAnsi="Cambria Math"/>
                <w:color w:val="000000" w:themeColor="text1"/>
                <w14:textFill>
                  <w14:solidFill>
                    <w14:schemeClr w14:val="tx1"/>
                  </w14:solidFill>
                </w14:textFill>
              </w:rPr>
              <m:t>s,f</m:t>
            </m:r>
            <m:ctrlPr>
              <w:rPr>
                <w:rFonts w:ascii="Cambria Math" w:hAnsi="Cambria Math"/>
                <w:i/>
                <w:color w:val="000000" w:themeColor="text1"/>
                <w14:textFill>
                  <w14:solidFill>
                    <w14:schemeClr w14:val="tx1"/>
                  </w14:solidFill>
                </w14:textFill>
              </w:rPr>
            </m:ctrlPr>
          </m:sub>
          <m:sup>
            <m:r>
              <w:rPr>
                <w:rFonts w:ascii="Cambria Math" w:hAnsi="Cambria Math"/>
                <w:color w:val="000000" w:themeColor="text1"/>
                <w14:textFill>
                  <w14:solidFill>
                    <w14:schemeClr w14:val="tx1"/>
                  </w14:solidFill>
                </w14:textFill>
              </w:rPr>
              <m:t>μ</m:t>
            </m:r>
            <m:ctrlPr>
              <w:rPr>
                <w:rFonts w:ascii="Cambria Math" w:hAnsi="Cambria Math"/>
                <w:i/>
                <w:color w:val="000000" w:themeColor="text1"/>
                <w14:textFill>
                  <w14:solidFill>
                    <w14:schemeClr w14:val="tx1"/>
                  </w14:solidFill>
                </w14:textFill>
              </w:rPr>
            </m:ctrlPr>
          </m:sup>
        </m:sSubSup>
      </m:oMath>
      <w:r>
        <w:rPr>
          <w:rStyle w:val="120"/>
          <w:rFonts w:eastAsia="宋体"/>
          <w:color w:val="000000" w:themeColor="text1"/>
          <w14:textFill>
            <w14:solidFill>
              <w14:schemeClr w14:val="tx1"/>
            </w14:solidFill>
          </w14:textFill>
        </w:rPr>
        <w:t xml:space="preserve">, i.e., TRS used as TCI source from </w:t>
      </w:r>
      <w:r>
        <w:rPr>
          <w:rStyle w:val="120"/>
          <w:rFonts w:hint="eastAsia" w:eastAsia="宋体"/>
          <w:color w:val="000000" w:themeColor="text1"/>
          <w14:textFill>
            <w14:solidFill>
              <w14:schemeClr w14:val="tx1"/>
            </w14:solidFill>
          </w14:textFill>
        </w:rPr>
        <w:t xml:space="preserve">a </w:t>
      </w:r>
      <w:r>
        <w:rPr>
          <w:rStyle w:val="120"/>
          <w:rFonts w:eastAsia="宋体"/>
          <w:color w:val="000000" w:themeColor="text1"/>
          <w14:textFill>
            <w14:solidFill>
              <w14:schemeClr w14:val="tx1"/>
            </w14:solidFill>
          </w14:textFill>
        </w:rPr>
        <w:t xml:space="preserve">neighbor cell should generate the sequence based on the slot index from </w:t>
      </w:r>
      <w:r>
        <w:rPr>
          <w:rStyle w:val="120"/>
          <w:rFonts w:hint="eastAsia" w:eastAsia="宋体"/>
          <w:color w:val="000000" w:themeColor="text1"/>
          <w14:textFill>
            <w14:solidFill>
              <w14:schemeClr w14:val="tx1"/>
            </w14:solidFill>
          </w14:textFill>
        </w:rPr>
        <w:t xml:space="preserve">this </w:t>
      </w:r>
      <w:r>
        <w:rPr>
          <w:rStyle w:val="120"/>
          <w:rFonts w:eastAsia="宋体"/>
          <w:color w:val="000000" w:themeColor="text1"/>
          <w14:textFill>
            <w14:solidFill>
              <w14:schemeClr w14:val="tx1"/>
            </w14:solidFill>
          </w14:textFill>
        </w:rPr>
        <w:t xml:space="preserve">neighbor </w:t>
      </w:r>
      <w:r>
        <w:rPr>
          <w:rStyle w:val="120"/>
          <w:rFonts w:hint="eastAsia" w:eastAsia="宋体"/>
          <w:color w:val="000000" w:themeColor="text1"/>
          <w14:textFill>
            <w14:solidFill>
              <w14:schemeClr w14:val="tx1"/>
            </w14:solidFill>
          </w14:textFill>
        </w:rPr>
        <w:t>cell</w:t>
      </w:r>
      <w:r>
        <w:rPr>
          <w:rStyle w:val="120"/>
          <w:rFonts w:eastAsia="宋体"/>
          <w:color w:val="000000" w:themeColor="text1"/>
          <w14:textFill>
            <w14:solidFill>
              <w14:schemeClr w14:val="tx1"/>
            </w14:solidFill>
          </w14:textFill>
        </w:rPr>
        <w:t>.</w:t>
      </w:r>
    </w:p>
    <w:p>
      <w:pPr>
        <w:pStyle w:val="16"/>
        <w:snapToGrid w:val="0"/>
        <w:spacing w:before="180" w:beforeLines="50" w:after="180" w:afterLines="50"/>
        <w:rPr>
          <w:rStyle w:val="120"/>
          <w:rFonts w:eastAsia="宋体"/>
          <w:bCs/>
          <w:i/>
          <w:iCs/>
          <w:sz w:val="20"/>
        </w:rPr>
      </w:pPr>
      <w:r>
        <w:rPr>
          <w:rStyle w:val="120"/>
          <w:rFonts w:hint="eastAsia" w:eastAsiaTheme="minorEastAsia"/>
          <w:b/>
          <w:i/>
          <w:iCs/>
          <w:sz w:val="20"/>
        </w:rPr>
        <w:t>Proposal 6:</w:t>
      </w:r>
      <w:r>
        <w:rPr>
          <w:rStyle w:val="120"/>
          <w:rFonts w:hint="eastAsia" w:eastAsiaTheme="minorEastAsia"/>
          <w:bCs/>
          <w:i/>
          <w:iCs/>
          <w:sz w:val="20"/>
        </w:rPr>
        <w:t xml:space="preserve"> </w:t>
      </w:r>
      <w:r>
        <w:rPr>
          <w:rStyle w:val="120"/>
          <w:rFonts w:hint="eastAsia" w:eastAsia="宋体"/>
          <w:bCs/>
          <w:i/>
          <w:iCs/>
          <w:sz w:val="20"/>
        </w:rPr>
        <w:t>Support</w:t>
      </w:r>
      <w:r>
        <w:rPr>
          <w:rStyle w:val="120"/>
          <w:rFonts w:eastAsia="宋体"/>
          <w:bCs/>
          <w:i/>
          <w:iCs/>
          <w:sz w:val="20"/>
        </w:rPr>
        <w:t xml:space="preserve"> sequence generation of </w:t>
      </w:r>
      <w:r>
        <w:rPr>
          <w:rStyle w:val="120"/>
          <w:rFonts w:hint="eastAsia" w:eastAsia="宋体"/>
          <w:bCs/>
          <w:i/>
          <w:iCs/>
          <w:sz w:val="20"/>
        </w:rPr>
        <w:t xml:space="preserve">a </w:t>
      </w:r>
      <w:r>
        <w:rPr>
          <w:rFonts w:hint="eastAsia" w:eastAsia="宋体"/>
          <w:i/>
          <w:iCs/>
          <w:sz w:val="20"/>
        </w:rPr>
        <w:t xml:space="preserve">non-serving </w:t>
      </w:r>
      <w:r>
        <w:rPr>
          <w:rStyle w:val="120"/>
          <w:rFonts w:hint="eastAsia" w:eastAsia="宋体"/>
          <w:bCs/>
          <w:i/>
          <w:iCs/>
          <w:sz w:val="20"/>
        </w:rPr>
        <w:t>cell</w:t>
      </w:r>
      <w:r>
        <w:rPr>
          <w:rStyle w:val="120"/>
          <w:rFonts w:eastAsia="宋体"/>
          <w:bCs/>
          <w:i/>
          <w:iCs/>
          <w:sz w:val="20"/>
        </w:rPr>
        <w:t xml:space="preserve"> TRS</w:t>
      </w:r>
      <w:r>
        <w:rPr>
          <w:rStyle w:val="120"/>
          <w:rFonts w:hint="eastAsia" w:eastAsia="宋体"/>
          <w:bCs/>
          <w:i/>
          <w:iCs/>
          <w:sz w:val="20"/>
        </w:rPr>
        <w:t xml:space="preserve"> used as TCI source should be </w:t>
      </w:r>
      <w:r>
        <w:rPr>
          <w:rStyle w:val="120"/>
          <w:rFonts w:eastAsia="宋体"/>
          <w:bCs/>
          <w:i/>
          <w:iCs/>
          <w:sz w:val="20"/>
        </w:rPr>
        <w:t xml:space="preserve">based on slot index of </w:t>
      </w:r>
      <w:r>
        <w:rPr>
          <w:rStyle w:val="120"/>
          <w:rFonts w:hint="eastAsia" w:eastAsia="宋体"/>
          <w:bCs/>
          <w:i/>
          <w:iCs/>
          <w:sz w:val="20"/>
        </w:rPr>
        <w:t xml:space="preserve">this </w:t>
      </w:r>
      <w:r>
        <w:rPr>
          <w:rFonts w:hint="eastAsia" w:eastAsia="宋体"/>
          <w:i/>
          <w:iCs/>
          <w:sz w:val="20"/>
        </w:rPr>
        <w:t xml:space="preserve">non-serving </w:t>
      </w:r>
      <w:r>
        <w:rPr>
          <w:rStyle w:val="120"/>
          <w:rFonts w:eastAsia="宋体"/>
          <w:bCs/>
          <w:i/>
          <w:iCs/>
          <w:sz w:val="20"/>
        </w:rPr>
        <w:t>cell.</w:t>
      </w:r>
    </w:p>
    <w:p>
      <w:pPr>
        <w:pStyle w:val="16"/>
        <w:snapToGrid w:val="0"/>
        <w:spacing w:before="180" w:beforeLines="50" w:after="180" w:afterLines="50"/>
        <w:rPr>
          <w:rStyle w:val="120"/>
          <w:rFonts w:eastAsia="宋体"/>
          <w:bCs/>
          <w:i/>
          <w:iCs/>
          <w:sz w:val="20"/>
        </w:rPr>
      </w:pPr>
    </w:p>
    <w:p>
      <w:pPr>
        <w:pStyle w:val="3"/>
        <w:snapToGrid w:val="0"/>
        <w:jc w:val="both"/>
        <w:rPr>
          <w:rFonts w:ascii="Arial" w:hAnsi="Arial" w:cs="Arial"/>
          <w:szCs w:val="22"/>
          <w:lang w:val="en-US"/>
        </w:rPr>
      </w:pPr>
      <w:r>
        <w:rPr>
          <w:rFonts w:hint="eastAsia" w:ascii="Arial" w:hAnsi="Arial" w:cs="Arial"/>
          <w:szCs w:val="22"/>
          <w:lang w:val="en-US"/>
        </w:rPr>
        <w:t>Rate matching</w:t>
      </w:r>
    </w:p>
    <w:p>
      <w:pPr>
        <w:snapToGrid w:val="0"/>
        <w:spacing w:before="180" w:beforeLines="50" w:after="180" w:afterLines="50"/>
        <w:jc w:val="both"/>
        <w:rPr>
          <w:rFonts w:eastAsia="宋体"/>
          <w:iCs/>
          <w:szCs w:val="20"/>
        </w:rPr>
      </w:pPr>
      <w:r>
        <w:rPr>
          <w:rFonts w:hint="eastAsia" w:eastAsia="宋体"/>
          <w:iCs/>
          <w:szCs w:val="20"/>
        </w:rPr>
        <w:t>In the last meeting, RAN1 agreed that non-serving cell SSB should be rate matched for PDSCH/PDCCH from the same non-serving cell. The remaining issue is whether PDSCH/PDCCH and SSB from different cells (serving cell and non-serving cell) should be processed via rate matching.</w:t>
      </w:r>
    </w:p>
    <w:p>
      <w:pPr>
        <w:snapToGrid w:val="0"/>
        <w:spacing w:before="180" w:beforeLines="50" w:after="180" w:afterLines="50"/>
        <w:jc w:val="both"/>
      </w:pPr>
      <w:r>
        <w:rPr>
          <w:rFonts w:eastAsia="宋体"/>
          <w:iCs/>
          <w:szCs w:val="20"/>
        </w:rPr>
        <w:t xml:space="preserve">In </w:t>
      </w:r>
      <w:r>
        <w:rPr>
          <w:rFonts w:hint="eastAsia" w:eastAsia="宋体"/>
          <w:iCs/>
          <w:szCs w:val="20"/>
        </w:rPr>
        <w:t>reality</w:t>
      </w:r>
      <w:r>
        <w:rPr>
          <w:rFonts w:eastAsia="宋体"/>
          <w:iCs/>
          <w:szCs w:val="20"/>
        </w:rPr>
        <w:t xml:space="preserve">, </w:t>
      </w:r>
      <w:r>
        <w:t>w</w:t>
      </w:r>
      <w:r>
        <w:rPr>
          <w:rFonts w:hint="eastAsia"/>
        </w:rPr>
        <w:t xml:space="preserve">hen the </w:t>
      </w:r>
      <w:r>
        <w:t xml:space="preserve">NCJT </w:t>
      </w:r>
      <w:r>
        <w:rPr>
          <w:rFonts w:hint="eastAsia"/>
        </w:rPr>
        <w:t xml:space="preserve">UE receives multiple downlink signals </w:t>
      </w:r>
      <w:r>
        <w:rPr>
          <w:rFonts w:hint="eastAsia" w:eastAsia="宋体"/>
        </w:rPr>
        <w:t>from</w:t>
      </w:r>
      <w:r>
        <w:rPr>
          <w:rFonts w:hint="eastAsia"/>
        </w:rPr>
        <w:t xml:space="preserve"> different cell</w:t>
      </w:r>
      <w:r>
        <w:t>s</w:t>
      </w:r>
      <w:r>
        <w:rPr>
          <w:rFonts w:hint="eastAsia"/>
        </w:rPr>
        <w:t xml:space="preserve">, due to the </w:t>
      </w:r>
      <w:r>
        <w:t>serious interference</w:t>
      </w:r>
      <w:r>
        <w:rPr>
          <w:rFonts w:hint="eastAsia" w:eastAsia="宋体"/>
        </w:rPr>
        <w:t xml:space="preserve">, the resource of SSB should be rate matched for PDSCH/PDCCH from another cell. </w:t>
      </w:r>
      <w:r>
        <w:rPr>
          <w:rFonts w:hint="eastAsia" w:eastAsia="宋体"/>
          <w:iCs/>
          <w:szCs w:val="20"/>
        </w:rPr>
        <w:t xml:space="preserve">Specifically, once serving cell PDSCH/PDCCH and non-serving serving cell SSB, especially </w:t>
      </w:r>
      <w:r>
        <w:rPr>
          <w:rFonts w:eastAsia="宋体"/>
          <w:iCs/>
          <w:szCs w:val="20"/>
        </w:rPr>
        <w:t xml:space="preserve">which is </w:t>
      </w:r>
      <w:r>
        <w:rPr>
          <w:rFonts w:hint="eastAsia" w:eastAsia="宋体"/>
          <w:iCs/>
          <w:szCs w:val="20"/>
        </w:rPr>
        <w:t>included in an activated TCI state</w:t>
      </w:r>
      <w:r>
        <w:rPr>
          <w:rFonts w:eastAsia="宋体"/>
          <w:iCs/>
          <w:szCs w:val="20"/>
        </w:rPr>
        <w:t>,</w:t>
      </w:r>
      <w:r>
        <w:rPr>
          <w:rFonts w:hint="eastAsia" w:eastAsia="宋体"/>
          <w:iCs/>
          <w:szCs w:val="20"/>
        </w:rPr>
        <w:t xml:space="preserve"> are overlapped by part or all of the resources</w:t>
      </w:r>
      <w:r>
        <w:rPr>
          <w:rFonts w:hint="eastAsia"/>
        </w:rPr>
        <w:t>, the PDSCH</w:t>
      </w:r>
      <w:r>
        <w:rPr>
          <w:rFonts w:hint="eastAsia" w:eastAsia="宋体"/>
          <w:iCs/>
          <w:szCs w:val="20"/>
        </w:rPr>
        <w:t>/PDCCH</w:t>
      </w:r>
      <w:r>
        <w:rPr>
          <w:rFonts w:hint="eastAsia"/>
        </w:rPr>
        <w:t xml:space="preserve"> should do rate matching around the SSB, </w:t>
      </w:r>
      <w:r>
        <w:rPr>
          <w:rFonts w:hint="eastAsia" w:eastAsia="宋体"/>
        </w:rPr>
        <w:t xml:space="preserve">and </w:t>
      </w:r>
      <w:r>
        <w:t>vice versa</w:t>
      </w:r>
      <w:r>
        <w:rPr>
          <w:rFonts w:hint="eastAsia"/>
        </w:rPr>
        <w:t xml:space="preserve">. </w:t>
      </w:r>
      <w:r>
        <w:rPr>
          <w:rFonts w:hint="eastAsia" w:eastAsia="宋体"/>
        </w:rPr>
        <w:t>H</w:t>
      </w:r>
      <w:r>
        <w:rPr>
          <w:rFonts w:hint="eastAsia"/>
        </w:rPr>
        <w:t xml:space="preserve">ow to indicate </w:t>
      </w:r>
      <w:r>
        <w:t>this rate matching information for</w:t>
      </w:r>
      <w:r>
        <w:rPr>
          <w:rFonts w:hint="eastAsia" w:eastAsia="宋体"/>
        </w:rPr>
        <w:t xml:space="preserve"> </w:t>
      </w:r>
      <w:r>
        <w:rPr>
          <w:rFonts w:hint="eastAsia"/>
        </w:rPr>
        <w:t xml:space="preserve">PDSCH/PDCCH from serving cell or non-serving cell can be </w:t>
      </w:r>
      <w:r>
        <w:t>further studied</w:t>
      </w:r>
      <w:r>
        <w:rPr>
          <w:rFonts w:hint="eastAsia"/>
        </w:rPr>
        <w:t>.</w:t>
      </w:r>
    </w:p>
    <w:p>
      <w:pPr>
        <w:pStyle w:val="16"/>
        <w:snapToGrid w:val="0"/>
        <w:spacing w:before="180" w:beforeLines="50" w:after="180" w:afterLines="50"/>
        <w:rPr>
          <w:rFonts w:eastAsia="宋体"/>
          <w:i/>
          <w:iCs/>
          <w:color w:val="auto"/>
          <w:kern w:val="0"/>
          <w:sz w:val="20"/>
        </w:rPr>
      </w:pPr>
      <w:r>
        <w:rPr>
          <w:rStyle w:val="120"/>
          <w:rFonts w:hint="eastAsia" w:eastAsiaTheme="minorEastAsia"/>
          <w:b/>
          <w:i/>
          <w:iCs/>
          <w:sz w:val="20"/>
        </w:rPr>
        <w:t>Proposal 7:</w:t>
      </w:r>
      <w:r>
        <w:rPr>
          <w:rStyle w:val="120"/>
          <w:rFonts w:hint="eastAsia" w:eastAsiaTheme="minorEastAsia"/>
          <w:bCs/>
          <w:i/>
          <w:iCs/>
          <w:sz w:val="20"/>
        </w:rPr>
        <w:t xml:space="preserve"> </w:t>
      </w:r>
      <w:r>
        <w:rPr>
          <w:rFonts w:hint="eastAsia" w:eastAsia="宋体"/>
          <w:i/>
          <w:iCs/>
          <w:color w:val="auto"/>
          <w:kern w:val="0"/>
          <w:sz w:val="20"/>
        </w:rPr>
        <w:t xml:space="preserve">Support </w:t>
      </w:r>
      <w:r>
        <w:rPr>
          <w:rFonts w:eastAsia="宋体"/>
          <w:i/>
          <w:iCs/>
          <w:color w:val="auto"/>
          <w:kern w:val="0"/>
          <w:sz w:val="20"/>
        </w:rPr>
        <w:t xml:space="preserve">that </w:t>
      </w:r>
      <w:r>
        <w:rPr>
          <w:rFonts w:hint="eastAsia" w:eastAsia="宋体"/>
          <w:i/>
          <w:iCs/>
          <w:color w:val="auto"/>
          <w:kern w:val="0"/>
          <w:sz w:val="20"/>
        </w:rPr>
        <w:t xml:space="preserve">PDSCH /PDCCH from serving cell is rate matched around non-serving cell SSB, and support </w:t>
      </w:r>
      <w:r>
        <w:rPr>
          <w:rFonts w:eastAsia="宋体"/>
          <w:i/>
          <w:iCs/>
          <w:color w:val="auto"/>
          <w:kern w:val="0"/>
          <w:sz w:val="20"/>
        </w:rPr>
        <w:t xml:space="preserve">that </w:t>
      </w:r>
      <w:r>
        <w:rPr>
          <w:rFonts w:hint="eastAsia" w:eastAsia="宋体"/>
          <w:i/>
          <w:iCs/>
          <w:color w:val="auto"/>
          <w:kern w:val="0"/>
          <w:sz w:val="20"/>
        </w:rPr>
        <w:t>PDSCH/PDCCH from non-serving cell is rate matched around serving cell SSB.</w:t>
      </w:r>
    </w:p>
    <w:p>
      <w:pPr>
        <w:pStyle w:val="16"/>
        <w:snapToGrid w:val="0"/>
        <w:spacing w:before="180" w:beforeLines="50" w:after="180" w:afterLines="50"/>
        <w:rPr>
          <w:rFonts w:eastAsia="宋体"/>
          <w:i/>
          <w:iCs/>
          <w:color w:val="auto"/>
          <w:kern w:val="0"/>
          <w:sz w:val="20"/>
        </w:rPr>
      </w:pPr>
    </w:p>
    <w:p>
      <w:pPr>
        <w:pStyle w:val="2"/>
        <w:tabs>
          <w:tab w:val="clear" w:pos="432"/>
        </w:tabs>
        <w:snapToGrid w:val="0"/>
        <w:spacing w:before="180" w:beforeLines="50" w:beforeAutospacing="0" w:after="180" w:afterLines="50" w:afterAutospacing="0" w:line="240" w:lineRule="auto"/>
        <w:ind w:left="431" w:hanging="431"/>
        <w:jc w:val="both"/>
        <w:rPr>
          <w:rFonts w:ascii="Arial" w:hAnsi="Arial"/>
          <w:sz w:val="28"/>
          <w:lang w:val="en-US"/>
        </w:rPr>
      </w:pPr>
      <w:r>
        <w:rPr>
          <w:rFonts w:ascii="Arial" w:hAnsi="Arial"/>
          <w:sz w:val="28"/>
          <w:lang w:val="en-US"/>
        </w:rPr>
        <w:t>Conclusions</w:t>
      </w:r>
    </w:p>
    <w:p>
      <w:pPr>
        <w:snapToGrid w:val="0"/>
        <w:spacing w:before="180" w:beforeLines="50" w:after="180" w:afterLines="50"/>
        <w:jc w:val="both"/>
        <w:rPr>
          <w:rFonts w:eastAsia="微软雅黑"/>
          <w:szCs w:val="20"/>
        </w:rPr>
      </w:pPr>
      <w:r>
        <w:rPr>
          <w:rFonts w:hint="eastAsia" w:eastAsia="微软雅黑"/>
          <w:szCs w:val="20"/>
        </w:rPr>
        <w:t xml:space="preserve">Based on </w:t>
      </w:r>
      <w:r>
        <w:rPr>
          <w:rFonts w:eastAsia="微软雅黑"/>
          <w:szCs w:val="20"/>
        </w:rPr>
        <w:t xml:space="preserve">the </w:t>
      </w:r>
      <w:r>
        <w:rPr>
          <w:rFonts w:hint="eastAsia" w:eastAsia="微软雅黑"/>
          <w:szCs w:val="20"/>
        </w:rPr>
        <w:t xml:space="preserve">above discussion, we have following observations and </w:t>
      </w:r>
      <w:r>
        <w:rPr>
          <w:rFonts w:eastAsia="微软雅黑"/>
          <w:szCs w:val="20"/>
        </w:rPr>
        <w:t>proposals.</w:t>
      </w:r>
    </w:p>
    <w:p>
      <w:pPr>
        <w:snapToGrid w:val="0"/>
        <w:spacing w:before="180" w:beforeLines="50" w:after="180" w:afterLines="50"/>
        <w:jc w:val="both"/>
        <w:rPr>
          <w:rFonts w:eastAsia="宋体"/>
          <w:b/>
          <w:bCs/>
          <w:i/>
          <w:iCs/>
        </w:rPr>
      </w:pPr>
      <w:r>
        <w:rPr>
          <w:rFonts w:hint="eastAsia" w:eastAsia="宋体"/>
          <w:b/>
          <w:bCs/>
          <w:i/>
          <w:iCs/>
        </w:rPr>
        <w:t xml:space="preserve">Observation 1: </w:t>
      </w:r>
      <w:r>
        <w:rPr>
          <w:rFonts w:hint="eastAsia" w:eastAsiaTheme="minorEastAsia"/>
          <w:i/>
          <w:iCs/>
          <w:szCs w:val="20"/>
        </w:rPr>
        <w:t>Non-serving cell SSB used as QCL source RS for multi-TRP inter-cell operation should be one of SSBs that used for mobility measurement.</w:t>
      </w:r>
    </w:p>
    <w:p>
      <w:pPr>
        <w:snapToGrid w:val="0"/>
        <w:spacing w:before="180" w:beforeLines="50" w:after="180" w:afterLines="50"/>
        <w:jc w:val="both"/>
        <w:rPr>
          <w:i/>
          <w:iCs/>
        </w:rPr>
      </w:pPr>
      <w:r>
        <w:rPr>
          <w:rFonts w:hint="eastAsia"/>
          <w:b/>
          <w:bCs/>
          <w:i/>
          <w:iCs/>
        </w:rPr>
        <w:t xml:space="preserve">Proposal 1: </w:t>
      </w:r>
      <w:r>
        <w:rPr>
          <w:rFonts w:hint="eastAsia"/>
          <w:i/>
          <w:iCs/>
        </w:rPr>
        <w:t>Other non-serving cell SSB information</w:t>
      </w:r>
      <w:r>
        <w:rPr>
          <w:rFonts w:hint="eastAsia" w:eastAsia="宋体"/>
          <w:i/>
          <w:iCs/>
        </w:rPr>
        <w:t xml:space="preserve"> provided to UE should at least</w:t>
      </w:r>
      <w:r>
        <w:rPr>
          <w:rFonts w:hint="eastAsia"/>
          <w:i/>
          <w:iCs/>
        </w:rPr>
        <w:t xml:space="preserve"> </w:t>
      </w:r>
      <w:r>
        <w:rPr>
          <w:i/>
          <w:iCs/>
        </w:rPr>
        <w:t>includ</w:t>
      </w:r>
      <w:r>
        <w:rPr>
          <w:rFonts w:hint="eastAsia" w:eastAsia="宋体"/>
          <w:i/>
          <w:iCs/>
        </w:rPr>
        <w:t>e</w:t>
      </w:r>
      <w:r>
        <w:rPr>
          <w:rFonts w:hint="eastAsia"/>
          <w:i/>
          <w:iCs/>
        </w:rPr>
        <w:t xml:space="preserve"> center frequency, SCS, and SFN offset.</w:t>
      </w:r>
    </w:p>
    <w:p>
      <w:pPr>
        <w:snapToGrid w:val="0"/>
        <w:spacing w:before="180" w:beforeLines="50"/>
        <w:jc w:val="both"/>
        <w:rPr>
          <w:i/>
          <w:iCs/>
        </w:rPr>
      </w:pPr>
      <w:r>
        <w:rPr>
          <w:rFonts w:hint="eastAsia"/>
          <w:b/>
          <w:bCs/>
          <w:i/>
          <w:iCs/>
        </w:rPr>
        <w:t>Proposal 2:</w:t>
      </w:r>
      <w:r>
        <w:rPr>
          <w:rFonts w:hint="eastAsia"/>
          <w:i/>
          <w:iCs/>
        </w:rPr>
        <w:t xml:space="preserve"> Support to introduce a new RRC IE linking with some TCI states. </w:t>
      </w:r>
    </w:p>
    <w:p>
      <w:pPr>
        <w:pStyle w:val="122"/>
        <w:numPr>
          <w:ilvl w:val="0"/>
          <w:numId w:val="4"/>
        </w:numPr>
        <w:snapToGrid w:val="0"/>
        <w:ind w:leftChars="0" w:hanging="363"/>
        <w:jc w:val="both"/>
        <w:rPr>
          <w:rFonts w:cs="Times"/>
          <w:i/>
          <w:iCs/>
        </w:rPr>
      </w:pPr>
      <w:r>
        <w:rPr>
          <w:rFonts w:hint="eastAsia" w:cs="Times"/>
          <w:i/>
          <w:iCs/>
        </w:rPr>
        <w:t xml:space="preserve">At least </w:t>
      </w:r>
      <w:r>
        <w:rPr>
          <w:rFonts w:cs="Times"/>
          <w:i/>
          <w:iCs/>
        </w:rPr>
        <w:t>MeasObjectId</w:t>
      </w:r>
      <w:r>
        <w:rPr>
          <w:rFonts w:hint="eastAsia" w:cs="Times"/>
          <w:i/>
          <w:iCs/>
        </w:rPr>
        <w:t xml:space="preserve"> and PCI should be contained in the new IE.</w:t>
      </w:r>
    </w:p>
    <w:p>
      <w:pPr>
        <w:snapToGrid w:val="0"/>
        <w:spacing w:before="180" w:beforeLines="50"/>
        <w:jc w:val="both"/>
        <w:rPr>
          <w:rFonts w:eastAsia="宋体"/>
          <w:i/>
          <w:iCs/>
          <w:szCs w:val="20"/>
        </w:rPr>
      </w:pPr>
      <w:r>
        <w:rPr>
          <w:rFonts w:hint="eastAsia" w:eastAsia="宋体"/>
          <w:b/>
          <w:bCs/>
          <w:i/>
          <w:iCs/>
          <w:szCs w:val="20"/>
        </w:rPr>
        <w:t>Proposal 3:</w:t>
      </w:r>
      <w:r>
        <w:rPr>
          <w:rFonts w:hint="eastAsia" w:eastAsia="宋体"/>
          <w:i/>
          <w:iCs/>
          <w:szCs w:val="20"/>
        </w:rPr>
        <w:t xml:space="preserve"> For the configuration TCI state/ QCL-info with non-serving cell SSB information, support Opt. 3 that all TCI states should be split into two groups which corresponding to serving cell and non-serving cell, respectively.</w:t>
      </w:r>
    </w:p>
    <w:p>
      <w:pPr>
        <w:pStyle w:val="122"/>
        <w:numPr>
          <w:ilvl w:val="0"/>
          <w:numId w:val="4"/>
        </w:numPr>
        <w:snapToGrid w:val="0"/>
        <w:spacing w:after="180" w:afterLines="50"/>
        <w:ind w:leftChars="0" w:hanging="363"/>
        <w:jc w:val="both"/>
        <w:rPr>
          <w:rFonts w:cs="Times"/>
          <w:i/>
          <w:iCs/>
        </w:rPr>
      </w:pPr>
      <w:r>
        <w:rPr>
          <w:rFonts w:hint="eastAsia" w:cs="Times"/>
          <w:i/>
          <w:iCs/>
        </w:rPr>
        <w:t>Each group of TCI states is associated with a CORESETPoolIndex value.</w:t>
      </w:r>
    </w:p>
    <w:p>
      <w:pPr>
        <w:snapToGrid w:val="0"/>
        <w:spacing w:before="180" w:beforeLines="50" w:after="180" w:afterLines="50"/>
        <w:jc w:val="both"/>
        <w:rPr>
          <w:rStyle w:val="120"/>
          <w:rFonts w:eastAsia="宋体"/>
          <w:i/>
          <w:iCs/>
        </w:rPr>
      </w:pPr>
      <w:r>
        <w:rPr>
          <w:rStyle w:val="120"/>
          <w:rFonts w:hint="eastAsia" w:eastAsia="宋体"/>
          <w:b/>
          <w:bCs/>
          <w:i/>
          <w:iCs/>
        </w:rPr>
        <w:t>Proposal 4:</w:t>
      </w:r>
      <w:r>
        <w:rPr>
          <w:rStyle w:val="120"/>
          <w:rFonts w:hint="eastAsia" w:eastAsia="宋体"/>
          <w:i/>
          <w:iCs/>
        </w:rPr>
        <w:t xml:space="preserve"> Supported to use non-serving cell CSI-RS for mobility as the QCL source for MTRP inter-cell transmission.</w:t>
      </w:r>
      <w:bookmarkStart w:id="4" w:name="_GoBack"/>
      <w:bookmarkEnd w:id="4"/>
    </w:p>
    <w:p>
      <w:pPr>
        <w:snapToGrid w:val="0"/>
        <w:spacing w:before="180" w:beforeLines="50" w:after="180" w:afterLines="50"/>
        <w:jc w:val="both"/>
        <w:rPr>
          <w:rFonts w:eastAsia="宋体"/>
          <w:i/>
          <w:iCs/>
        </w:rPr>
      </w:pPr>
      <w:r>
        <w:rPr>
          <w:rFonts w:hint="eastAsia" w:eastAsia="宋体"/>
          <w:b/>
          <w:bCs/>
          <w:i/>
          <w:iCs/>
        </w:rPr>
        <w:t>Proposal 5:</w:t>
      </w:r>
      <w:r>
        <w:rPr>
          <w:rFonts w:hint="eastAsia" w:eastAsia="宋体"/>
          <w:i/>
          <w:iCs/>
        </w:rPr>
        <w:t xml:space="preserve"> Support non-serving cell SSB and CSI-RS for mobility can be configured as the PL-RS for uplink transmission.</w:t>
      </w:r>
    </w:p>
    <w:p>
      <w:pPr>
        <w:pStyle w:val="16"/>
        <w:snapToGrid w:val="0"/>
        <w:spacing w:before="180" w:beforeLines="50" w:after="180" w:afterLines="50"/>
        <w:rPr>
          <w:rStyle w:val="120"/>
          <w:rFonts w:eastAsia="宋体"/>
          <w:bCs/>
          <w:i/>
          <w:iCs/>
          <w:sz w:val="20"/>
        </w:rPr>
      </w:pPr>
      <w:r>
        <w:rPr>
          <w:rStyle w:val="120"/>
          <w:rFonts w:hint="eastAsia" w:eastAsiaTheme="minorEastAsia"/>
          <w:b/>
          <w:i/>
          <w:iCs/>
          <w:sz w:val="20"/>
        </w:rPr>
        <w:t>Proposal 6:</w:t>
      </w:r>
      <w:r>
        <w:rPr>
          <w:rStyle w:val="120"/>
          <w:rFonts w:hint="eastAsia" w:eastAsiaTheme="minorEastAsia"/>
          <w:bCs/>
          <w:i/>
          <w:iCs/>
          <w:sz w:val="20"/>
        </w:rPr>
        <w:t xml:space="preserve"> </w:t>
      </w:r>
      <w:r>
        <w:rPr>
          <w:rStyle w:val="120"/>
          <w:rFonts w:hint="eastAsia" w:eastAsia="宋体"/>
          <w:bCs/>
          <w:i/>
          <w:iCs/>
          <w:sz w:val="20"/>
        </w:rPr>
        <w:t>Support</w:t>
      </w:r>
      <w:r>
        <w:rPr>
          <w:rStyle w:val="120"/>
          <w:rFonts w:eastAsia="宋体"/>
          <w:bCs/>
          <w:i/>
          <w:iCs/>
          <w:sz w:val="20"/>
        </w:rPr>
        <w:t xml:space="preserve"> sequence generation of </w:t>
      </w:r>
      <w:r>
        <w:rPr>
          <w:rStyle w:val="120"/>
          <w:rFonts w:hint="eastAsia" w:eastAsia="宋体"/>
          <w:bCs/>
          <w:i/>
          <w:iCs/>
          <w:sz w:val="20"/>
        </w:rPr>
        <w:t xml:space="preserve">a </w:t>
      </w:r>
      <w:r>
        <w:rPr>
          <w:rFonts w:hint="eastAsia" w:eastAsia="宋体"/>
          <w:i/>
          <w:iCs/>
          <w:sz w:val="20"/>
        </w:rPr>
        <w:t xml:space="preserve">non-serving </w:t>
      </w:r>
      <w:r>
        <w:rPr>
          <w:rStyle w:val="120"/>
          <w:rFonts w:hint="eastAsia" w:eastAsia="宋体"/>
          <w:bCs/>
          <w:i/>
          <w:iCs/>
          <w:sz w:val="20"/>
        </w:rPr>
        <w:t>cell</w:t>
      </w:r>
      <w:r>
        <w:rPr>
          <w:rStyle w:val="120"/>
          <w:rFonts w:eastAsia="宋体"/>
          <w:bCs/>
          <w:i/>
          <w:iCs/>
          <w:sz w:val="20"/>
        </w:rPr>
        <w:t xml:space="preserve"> TRS</w:t>
      </w:r>
      <w:r>
        <w:rPr>
          <w:rStyle w:val="120"/>
          <w:rFonts w:hint="eastAsia" w:eastAsia="宋体"/>
          <w:bCs/>
          <w:i/>
          <w:iCs/>
          <w:sz w:val="20"/>
        </w:rPr>
        <w:t xml:space="preserve"> used as TCI source should be </w:t>
      </w:r>
      <w:r>
        <w:rPr>
          <w:rStyle w:val="120"/>
          <w:rFonts w:eastAsia="宋体"/>
          <w:bCs/>
          <w:i/>
          <w:iCs/>
          <w:sz w:val="20"/>
        </w:rPr>
        <w:t xml:space="preserve">based on slot index of </w:t>
      </w:r>
      <w:r>
        <w:rPr>
          <w:rStyle w:val="120"/>
          <w:rFonts w:hint="eastAsia" w:eastAsia="宋体"/>
          <w:bCs/>
          <w:i/>
          <w:iCs/>
          <w:sz w:val="20"/>
        </w:rPr>
        <w:t xml:space="preserve">this </w:t>
      </w:r>
      <w:r>
        <w:rPr>
          <w:rFonts w:hint="eastAsia" w:eastAsia="宋体"/>
          <w:i/>
          <w:iCs/>
          <w:sz w:val="20"/>
        </w:rPr>
        <w:t xml:space="preserve">non-serving </w:t>
      </w:r>
      <w:r>
        <w:rPr>
          <w:rStyle w:val="120"/>
          <w:rFonts w:eastAsia="宋体"/>
          <w:bCs/>
          <w:i/>
          <w:iCs/>
          <w:sz w:val="20"/>
        </w:rPr>
        <w:t>cell.</w:t>
      </w:r>
    </w:p>
    <w:p>
      <w:pPr>
        <w:pStyle w:val="16"/>
        <w:snapToGrid w:val="0"/>
        <w:spacing w:before="180" w:beforeLines="50" w:after="180" w:afterLines="50"/>
        <w:rPr>
          <w:rFonts w:eastAsia="宋体"/>
          <w:i/>
          <w:iCs/>
          <w:color w:val="auto"/>
          <w:kern w:val="0"/>
          <w:sz w:val="20"/>
        </w:rPr>
      </w:pPr>
      <w:r>
        <w:rPr>
          <w:rStyle w:val="120"/>
          <w:rFonts w:hint="eastAsia" w:eastAsiaTheme="minorEastAsia"/>
          <w:b/>
          <w:i/>
          <w:iCs/>
          <w:sz w:val="20"/>
        </w:rPr>
        <w:t>Proposal 7:</w:t>
      </w:r>
      <w:r>
        <w:rPr>
          <w:rStyle w:val="120"/>
          <w:rFonts w:hint="eastAsia" w:eastAsiaTheme="minorEastAsia"/>
          <w:bCs/>
          <w:i/>
          <w:iCs/>
          <w:sz w:val="20"/>
        </w:rPr>
        <w:t xml:space="preserve"> </w:t>
      </w:r>
      <w:r>
        <w:rPr>
          <w:rFonts w:hint="eastAsia" w:eastAsia="宋体"/>
          <w:i/>
          <w:iCs/>
          <w:color w:val="auto"/>
          <w:kern w:val="0"/>
          <w:sz w:val="20"/>
        </w:rPr>
        <w:t xml:space="preserve">Support </w:t>
      </w:r>
      <w:r>
        <w:rPr>
          <w:rFonts w:eastAsia="宋体"/>
          <w:i/>
          <w:iCs/>
          <w:color w:val="auto"/>
          <w:kern w:val="0"/>
          <w:sz w:val="20"/>
        </w:rPr>
        <w:t xml:space="preserve">that </w:t>
      </w:r>
      <w:r>
        <w:rPr>
          <w:rFonts w:hint="eastAsia" w:eastAsia="宋体"/>
          <w:i/>
          <w:iCs/>
          <w:color w:val="auto"/>
          <w:kern w:val="0"/>
          <w:sz w:val="20"/>
        </w:rPr>
        <w:t xml:space="preserve">PDSCH /PDCCH from serving cell is rate matched around non-serving cell SSB, and support </w:t>
      </w:r>
      <w:r>
        <w:rPr>
          <w:rFonts w:eastAsia="宋体"/>
          <w:i/>
          <w:iCs/>
          <w:color w:val="auto"/>
          <w:kern w:val="0"/>
          <w:sz w:val="20"/>
        </w:rPr>
        <w:t xml:space="preserve">that </w:t>
      </w:r>
      <w:r>
        <w:rPr>
          <w:rFonts w:hint="eastAsia" w:eastAsia="宋体"/>
          <w:i/>
          <w:iCs/>
          <w:color w:val="auto"/>
          <w:kern w:val="0"/>
          <w:sz w:val="20"/>
        </w:rPr>
        <w:t>PDSCH/PDCCH from non-serving cell is rate matched around serving cell SSB.</w:t>
      </w:r>
    </w:p>
    <w:p>
      <w:pPr>
        <w:pStyle w:val="2"/>
        <w:tabs>
          <w:tab w:val="clear" w:pos="432"/>
        </w:tabs>
        <w:snapToGrid w:val="0"/>
        <w:spacing w:before="180" w:beforeLines="50" w:beforeAutospacing="0" w:after="180" w:afterLines="50" w:afterAutospacing="0" w:line="240" w:lineRule="auto"/>
        <w:ind w:left="431" w:hanging="431"/>
        <w:jc w:val="both"/>
        <w:rPr>
          <w:rFonts w:ascii="Arial" w:hAnsi="Arial"/>
          <w:sz w:val="28"/>
          <w:lang w:val="en-US"/>
        </w:rPr>
      </w:pPr>
      <w:r>
        <w:rPr>
          <w:rFonts w:ascii="Arial" w:hAnsi="Arial"/>
          <w:sz w:val="28"/>
          <w:lang w:val="en-US"/>
        </w:rPr>
        <w:t>References</w:t>
      </w:r>
      <w:bookmarkStart w:id="1" w:name="_Ref446506608"/>
      <w:bookmarkEnd w:id="1"/>
      <w:bookmarkStart w:id="2" w:name="_Ref446507216"/>
      <w:bookmarkEnd w:id="2"/>
      <w:bookmarkStart w:id="3" w:name="_Ref446511358"/>
      <w:bookmarkEnd w:id="3"/>
    </w:p>
    <w:p>
      <w:pPr>
        <w:numPr>
          <w:ilvl w:val="0"/>
          <w:numId w:val="6"/>
        </w:numPr>
        <w:snapToGrid w:val="0"/>
        <w:jc w:val="both"/>
        <w:rPr>
          <w:rFonts w:eastAsia="宋体"/>
        </w:rPr>
      </w:pPr>
      <w:r>
        <w:rPr>
          <w:rFonts w:hint="eastAsia"/>
          <w:szCs w:val="20"/>
        </w:rPr>
        <w:t xml:space="preserve">RAN1 </w:t>
      </w:r>
      <w:r>
        <w:rPr>
          <w:rFonts w:hint="eastAsia" w:eastAsia="宋体"/>
          <w:szCs w:val="20"/>
        </w:rPr>
        <w:t>Chairman's Notes RAN1#104-e final.</w:t>
      </w:r>
    </w:p>
    <w:p>
      <w:pPr>
        <w:numPr>
          <w:ilvl w:val="0"/>
          <w:numId w:val="6"/>
        </w:numPr>
        <w:snapToGrid w:val="0"/>
        <w:jc w:val="both"/>
        <w:rPr>
          <w:rFonts w:eastAsia="宋体"/>
        </w:rPr>
      </w:pPr>
      <w:r>
        <w:rPr>
          <w:rFonts w:hint="eastAsia" w:eastAsia="宋体"/>
        </w:rPr>
        <w:t xml:space="preserve">3GPP TS 38.211 V16.4.0, subclause 7.4.1.5.2: </w:t>
      </w:r>
      <w:r>
        <w:t>Sequence generation</w:t>
      </w:r>
      <w:r>
        <w:rPr>
          <w:rFonts w:hint="eastAsia" w:eastAsia="宋体"/>
        </w:rPr>
        <w:t>.</w:t>
      </w:r>
    </w:p>
    <w:sectPr>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S PGothic">
    <w:panose1 w:val="020B0600070205080204"/>
    <w:charset w:val="80"/>
    <w:family w:val="swiss"/>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B31DFA"/>
    <w:multiLevelType w:val="multilevel"/>
    <w:tmpl w:val="DBB31DFA"/>
    <w:lvl w:ilvl="0" w:tentative="0">
      <w:start w:val="1"/>
      <w:numFmt w:val="decimal"/>
      <w:isLgl/>
      <w:lvlText w:val="%1"/>
      <w:lvlJc w:val="left"/>
      <w:pPr>
        <w:tabs>
          <w:tab w:val="left" w:pos="432"/>
        </w:tabs>
        <w:ind w:left="432" w:hanging="432"/>
      </w:pPr>
      <w:rPr>
        <w:rFonts w:hint="default" w:ascii="宋体" w:hAnsi="宋体" w:eastAsia="宋体" w:cs="宋体"/>
        <w:b/>
        <w:i w:val="0"/>
        <w:sz w:val="28"/>
      </w:rPr>
    </w:lvl>
    <w:lvl w:ilvl="1" w:tentative="0">
      <w:start w:val="1"/>
      <w:numFmt w:val="decimal"/>
      <w:lvlText w:val="%1.%2"/>
      <w:lvlJc w:val="left"/>
      <w:pPr>
        <w:tabs>
          <w:tab w:val="left" w:pos="576"/>
        </w:tabs>
        <w:ind w:left="576" w:hanging="576"/>
      </w:pPr>
      <w:rPr>
        <w:rFonts w:hint="default" w:ascii="宋体" w:hAnsi="宋体" w:eastAsia="宋体" w:cs="宋体"/>
        <w:b/>
        <w:i w:val="0"/>
        <w:sz w:val="24"/>
      </w:rPr>
    </w:lvl>
    <w:lvl w:ilvl="2" w:tentative="0">
      <w:start w:val="1"/>
      <w:numFmt w:val="decimal"/>
      <w:pStyle w:val="4"/>
      <w:lvlText w:val="%1.%2.%3"/>
      <w:lvlJc w:val="left"/>
      <w:pPr>
        <w:tabs>
          <w:tab w:val="left" w:pos="720"/>
        </w:tabs>
        <w:ind w:left="720" w:hanging="720"/>
      </w:pPr>
      <w:rPr>
        <w:rFonts w:hint="default" w:ascii="宋体" w:hAnsi="宋体" w:eastAsia="宋体" w:cs="宋体"/>
        <w:b/>
        <w:i w:val="0"/>
        <w:sz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060D3FFB"/>
    <w:multiLevelType w:val="multilevel"/>
    <w:tmpl w:val="060D3FFB"/>
    <w:lvl w:ilvl="0" w:tentative="0">
      <w:start w:val="1"/>
      <w:numFmt w:val="bullet"/>
      <w:pStyle w:val="7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621AF83"/>
    <w:multiLevelType w:val="multilevel"/>
    <w:tmpl w:val="2621AF83"/>
    <w:lvl w:ilvl="0" w:tentative="0">
      <w:start w:val="1"/>
      <w:numFmt w:val="decimal"/>
      <w:pStyle w:val="2"/>
      <w:isLgl/>
      <w:lvlText w:val="%1"/>
      <w:lvlJc w:val="left"/>
      <w:pPr>
        <w:tabs>
          <w:tab w:val="left" w:pos="432"/>
        </w:tabs>
        <w:ind w:left="432" w:hanging="432"/>
      </w:pPr>
      <w:rPr>
        <w:rFonts w:hint="default" w:ascii="Arial" w:hAnsi="Arial" w:eastAsia="宋体" w:cs="Arial"/>
        <w:b/>
        <w:i w:val="0"/>
        <w:sz w:val="28"/>
      </w:rPr>
    </w:lvl>
    <w:lvl w:ilvl="1" w:tentative="0">
      <w:start w:val="1"/>
      <w:numFmt w:val="decimal"/>
      <w:pStyle w:val="3"/>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pStyle w:val="7"/>
      <w:isLgl/>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abstractNum w:abstractNumId="3">
    <w:nsid w:val="321E7551"/>
    <w:multiLevelType w:val="multilevel"/>
    <w:tmpl w:val="321E755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5EA1E3A"/>
    <w:multiLevelType w:val="multilevel"/>
    <w:tmpl w:val="35EA1E3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BEB212E"/>
    <w:multiLevelType w:val="multilevel"/>
    <w:tmpl w:val="5BEB212E"/>
    <w:lvl w:ilvl="0" w:tentative="0">
      <w:start w:val="2"/>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0"/>
  </w:num>
  <w:num w:numId="3">
    <w:abstractNumId w:val="1"/>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trackRevisions w:val="1"/>
  <w:documentProtection w:enforcement="0"/>
  <w:defaultTabStop w:val="420"/>
  <w:drawingGridHorizontalSpacing w:val="110"/>
  <w:noPunctuationKerning w:val="1"/>
  <w:characterSpacingControl w:val="doNotCompress"/>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715"/>
    <w:rsid w:val="000011D1"/>
    <w:rsid w:val="000013D2"/>
    <w:rsid w:val="000016ED"/>
    <w:rsid w:val="00001826"/>
    <w:rsid w:val="000018BC"/>
    <w:rsid w:val="00001CD2"/>
    <w:rsid w:val="00002071"/>
    <w:rsid w:val="00002307"/>
    <w:rsid w:val="00002747"/>
    <w:rsid w:val="00002C2A"/>
    <w:rsid w:val="000030D6"/>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49B"/>
    <w:rsid w:val="00005751"/>
    <w:rsid w:val="0000594B"/>
    <w:rsid w:val="00005AF1"/>
    <w:rsid w:val="00005C22"/>
    <w:rsid w:val="00006227"/>
    <w:rsid w:val="000062AC"/>
    <w:rsid w:val="000066E7"/>
    <w:rsid w:val="00006A0E"/>
    <w:rsid w:val="00006B81"/>
    <w:rsid w:val="00006EAC"/>
    <w:rsid w:val="0000705B"/>
    <w:rsid w:val="00007304"/>
    <w:rsid w:val="00007440"/>
    <w:rsid w:val="00007579"/>
    <w:rsid w:val="000077A3"/>
    <w:rsid w:val="00007B7E"/>
    <w:rsid w:val="00010475"/>
    <w:rsid w:val="000104F7"/>
    <w:rsid w:val="000105FC"/>
    <w:rsid w:val="0001060D"/>
    <w:rsid w:val="00010818"/>
    <w:rsid w:val="00010B8B"/>
    <w:rsid w:val="000117D6"/>
    <w:rsid w:val="000117E8"/>
    <w:rsid w:val="00011871"/>
    <w:rsid w:val="00011968"/>
    <w:rsid w:val="00011A09"/>
    <w:rsid w:val="00011A99"/>
    <w:rsid w:val="00011AE1"/>
    <w:rsid w:val="00011B88"/>
    <w:rsid w:val="00012311"/>
    <w:rsid w:val="000124D2"/>
    <w:rsid w:val="000126FC"/>
    <w:rsid w:val="00012C56"/>
    <w:rsid w:val="00012C7B"/>
    <w:rsid w:val="00012D8B"/>
    <w:rsid w:val="000131FE"/>
    <w:rsid w:val="000132A2"/>
    <w:rsid w:val="00013CCC"/>
    <w:rsid w:val="00013CE8"/>
    <w:rsid w:val="00013EF4"/>
    <w:rsid w:val="00013F3D"/>
    <w:rsid w:val="000143CA"/>
    <w:rsid w:val="00014536"/>
    <w:rsid w:val="00014604"/>
    <w:rsid w:val="00014F4A"/>
    <w:rsid w:val="00015601"/>
    <w:rsid w:val="00015A36"/>
    <w:rsid w:val="000161ED"/>
    <w:rsid w:val="00016BD7"/>
    <w:rsid w:val="00016E8F"/>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2258"/>
    <w:rsid w:val="000322B0"/>
    <w:rsid w:val="000323AD"/>
    <w:rsid w:val="000325A9"/>
    <w:rsid w:val="00032741"/>
    <w:rsid w:val="000331E5"/>
    <w:rsid w:val="000332EA"/>
    <w:rsid w:val="00033454"/>
    <w:rsid w:val="000335D4"/>
    <w:rsid w:val="00033649"/>
    <w:rsid w:val="00033E24"/>
    <w:rsid w:val="00033EF4"/>
    <w:rsid w:val="00034192"/>
    <w:rsid w:val="000342F2"/>
    <w:rsid w:val="000343FC"/>
    <w:rsid w:val="000350D0"/>
    <w:rsid w:val="00035191"/>
    <w:rsid w:val="000351CA"/>
    <w:rsid w:val="00035224"/>
    <w:rsid w:val="000353D5"/>
    <w:rsid w:val="00035401"/>
    <w:rsid w:val="0003549B"/>
    <w:rsid w:val="000359BA"/>
    <w:rsid w:val="00035A2C"/>
    <w:rsid w:val="00035F4A"/>
    <w:rsid w:val="00036AA0"/>
    <w:rsid w:val="00036AF1"/>
    <w:rsid w:val="00036B32"/>
    <w:rsid w:val="00036C63"/>
    <w:rsid w:val="00036E8D"/>
    <w:rsid w:val="00036EFD"/>
    <w:rsid w:val="000372AE"/>
    <w:rsid w:val="00037488"/>
    <w:rsid w:val="00037626"/>
    <w:rsid w:val="00037680"/>
    <w:rsid w:val="00037D79"/>
    <w:rsid w:val="00037DFD"/>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274"/>
    <w:rsid w:val="00047351"/>
    <w:rsid w:val="00047363"/>
    <w:rsid w:val="00047533"/>
    <w:rsid w:val="00047854"/>
    <w:rsid w:val="00047BA6"/>
    <w:rsid w:val="00047BFF"/>
    <w:rsid w:val="00047C96"/>
    <w:rsid w:val="00047E55"/>
    <w:rsid w:val="0005024A"/>
    <w:rsid w:val="00051173"/>
    <w:rsid w:val="0005133B"/>
    <w:rsid w:val="000515E3"/>
    <w:rsid w:val="0005197D"/>
    <w:rsid w:val="000519BD"/>
    <w:rsid w:val="00051A81"/>
    <w:rsid w:val="00051CF3"/>
    <w:rsid w:val="00051FCA"/>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8BF"/>
    <w:rsid w:val="000549B3"/>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45"/>
    <w:rsid w:val="000659EE"/>
    <w:rsid w:val="00065D29"/>
    <w:rsid w:val="00065EA1"/>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6CC"/>
    <w:rsid w:val="00080951"/>
    <w:rsid w:val="0008097D"/>
    <w:rsid w:val="00080A94"/>
    <w:rsid w:val="00080C4F"/>
    <w:rsid w:val="00080D67"/>
    <w:rsid w:val="00080EE0"/>
    <w:rsid w:val="00080F6B"/>
    <w:rsid w:val="00081335"/>
    <w:rsid w:val="00081434"/>
    <w:rsid w:val="00081867"/>
    <w:rsid w:val="000818BD"/>
    <w:rsid w:val="00081D05"/>
    <w:rsid w:val="00081F52"/>
    <w:rsid w:val="00082072"/>
    <w:rsid w:val="00082B44"/>
    <w:rsid w:val="00082C05"/>
    <w:rsid w:val="00082D7F"/>
    <w:rsid w:val="00082E4E"/>
    <w:rsid w:val="00082F8E"/>
    <w:rsid w:val="00083074"/>
    <w:rsid w:val="000830B1"/>
    <w:rsid w:val="0008320F"/>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0E68"/>
    <w:rsid w:val="0009108D"/>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DF0"/>
    <w:rsid w:val="00094F66"/>
    <w:rsid w:val="0009534B"/>
    <w:rsid w:val="000961DD"/>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4DE"/>
    <w:rsid w:val="000A1619"/>
    <w:rsid w:val="000A17FC"/>
    <w:rsid w:val="000A18AD"/>
    <w:rsid w:val="000A1D48"/>
    <w:rsid w:val="000A23D8"/>
    <w:rsid w:val="000A2499"/>
    <w:rsid w:val="000A24F6"/>
    <w:rsid w:val="000A283E"/>
    <w:rsid w:val="000A2C04"/>
    <w:rsid w:val="000A3204"/>
    <w:rsid w:val="000A3270"/>
    <w:rsid w:val="000A32A0"/>
    <w:rsid w:val="000A3E6F"/>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74B7"/>
    <w:rsid w:val="000A7781"/>
    <w:rsid w:val="000A78CB"/>
    <w:rsid w:val="000A7AA5"/>
    <w:rsid w:val="000A7FC3"/>
    <w:rsid w:val="000B01BE"/>
    <w:rsid w:val="000B0608"/>
    <w:rsid w:val="000B0953"/>
    <w:rsid w:val="000B0C9A"/>
    <w:rsid w:val="000B10D9"/>
    <w:rsid w:val="000B1203"/>
    <w:rsid w:val="000B142A"/>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6EC"/>
    <w:rsid w:val="000B4871"/>
    <w:rsid w:val="000B495B"/>
    <w:rsid w:val="000B4BA3"/>
    <w:rsid w:val="000B4E96"/>
    <w:rsid w:val="000B5BA6"/>
    <w:rsid w:val="000B5C0E"/>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222D"/>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46"/>
    <w:rsid w:val="000C64C0"/>
    <w:rsid w:val="000C6A81"/>
    <w:rsid w:val="000C6E60"/>
    <w:rsid w:val="000C6F96"/>
    <w:rsid w:val="000C78F5"/>
    <w:rsid w:val="000C7A0C"/>
    <w:rsid w:val="000C7AE4"/>
    <w:rsid w:val="000C7E35"/>
    <w:rsid w:val="000D0C2E"/>
    <w:rsid w:val="000D11A2"/>
    <w:rsid w:val="000D121B"/>
    <w:rsid w:val="000D1629"/>
    <w:rsid w:val="000D1708"/>
    <w:rsid w:val="000D1947"/>
    <w:rsid w:val="000D1A6F"/>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B3D"/>
    <w:rsid w:val="000D5EAA"/>
    <w:rsid w:val="000D5FB2"/>
    <w:rsid w:val="000D634B"/>
    <w:rsid w:val="000D6569"/>
    <w:rsid w:val="000D656C"/>
    <w:rsid w:val="000D6585"/>
    <w:rsid w:val="000D658D"/>
    <w:rsid w:val="000D679A"/>
    <w:rsid w:val="000D6B11"/>
    <w:rsid w:val="000D71B6"/>
    <w:rsid w:val="000D744C"/>
    <w:rsid w:val="000D74AE"/>
    <w:rsid w:val="000D74D2"/>
    <w:rsid w:val="000D74E6"/>
    <w:rsid w:val="000D7C6A"/>
    <w:rsid w:val="000D7E1F"/>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D72"/>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BC5"/>
    <w:rsid w:val="000E6CF9"/>
    <w:rsid w:val="000E6DA0"/>
    <w:rsid w:val="000E6FED"/>
    <w:rsid w:val="000E7162"/>
    <w:rsid w:val="000E7450"/>
    <w:rsid w:val="000E77FC"/>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0F1"/>
    <w:rsid w:val="000F225C"/>
    <w:rsid w:val="000F23C6"/>
    <w:rsid w:val="000F271E"/>
    <w:rsid w:val="000F281A"/>
    <w:rsid w:val="000F2D04"/>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F4A"/>
    <w:rsid w:val="000F6F63"/>
    <w:rsid w:val="000F7055"/>
    <w:rsid w:val="000F7565"/>
    <w:rsid w:val="000F7832"/>
    <w:rsid w:val="000F7878"/>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3E1"/>
    <w:rsid w:val="00103771"/>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826"/>
    <w:rsid w:val="00107BCF"/>
    <w:rsid w:val="00107BE0"/>
    <w:rsid w:val="00110103"/>
    <w:rsid w:val="0011025B"/>
    <w:rsid w:val="001102E6"/>
    <w:rsid w:val="00110925"/>
    <w:rsid w:val="00110E7D"/>
    <w:rsid w:val="0011123E"/>
    <w:rsid w:val="00111251"/>
    <w:rsid w:val="0011189E"/>
    <w:rsid w:val="00111A07"/>
    <w:rsid w:val="00111CE9"/>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69A5"/>
    <w:rsid w:val="00117146"/>
    <w:rsid w:val="001171DC"/>
    <w:rsid w:val="00117471"/>
    <w:rsid w:val="001179D6"/>
    <w:rsid w:val="00117A7E"/>
    <w:rsid w:val="00117B5B"/>
    <w:rsid w:val="00117C81"/>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1E"/>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8D0"/>
    <w:rsid w:val="00125DC2"/>
    <w:rsid w:val="00125E2A"/>
    <w:rsid w:val="0012647A"/>
    <w:rsid w:val="001266BA"/>
    <w:rsid w:val="00127521"/>
    <w:rsid w:val="001275FF"/>
    <w:rsid w:val="00127654"/>
    <w:rsid w:val="0012784C"/>
    <w:rsid w:val="00127906"/>
    <w:rsid w:val="00127915"/>
    <w:rsid w:val="00127AB8"/>
    <w:rsid w:val="00127BEB"/>
    <w:rsid w:val="00127E85"/>
    <w:rsid w:val="001303CB"/>
    <w:rsid w:val="0013051A"/>
    <w:rsid w:val="001308BC"/>
    <w:rsid w:val="00130A41"/>
    <w:rsid w:val="00130AA2"/>
    <w:rsid w:val="00130C95"/>
    <w:rsid w:val="00130E18"/>
    <w:rsid w:val="00130F50"/>
    <w:rsid w:val="00131803"/>
    <w:rsid w:val="00131A50"/>
    <w:rsid w:val="00131CC6"/>
    <w:rsid w:val="00131E7B"/>
    <w:rsid w:val="0013204F"/>
    <w:rsid w:val="00132207"/>
    <w:rsid w:val="00132451"/>
    <w:rsid w:val="0013265D"/>
    <w:rsid w:val="00132B25"/>
    <w:rsid w:val="00132FAB"/>
    <w:rsid w:val="00133129"/>
    <w:rsid w:val="00133384"/>
    <w:rsid w:val="001335A7"/>
    <w:rsid w:val="001335C1"/>
    <w:rsid w:val="001335EA"/>
    <w:rsid w:val="00133C49"/>
    <w:rsid w:val="00134082"/>
    <w:rsid w:val="0013430F"/>
    <w:rsid w:val="001344B8"/>
    <w:rsid w:val="001345E2"/>
    <w:rsid w:val="00134620"/>
    <w:rsid w:val="001349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3FB7"/>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D62"/>
    <w:rsid w:val="00146DC9"/>
    <w:rsid w:val="00147542"/>
    <w:rsid w:val="00147653"/>
    <w:rsid w:val="001478A4"/>
    <w:rsid w:val="001478C0"/>
    <w:rsid w:val="00147AAB"/>
    <w:rsid w:val="00147D1C"/>
    <w:rsid w:val="00147E93"/>
    <w:rsid w:val="00150084"/>
    <w:rsid w:val="001505F9"/>
    <w:rsid w:val="00150842"/>
    <w:rsid w:val="00150BF3"/>
    <w:rsid w:val="00150C11"/>
    <w:rsid w:val="00150ED9"/>
    <w:rsid w:val="00150F77"/>
    <w:rsid w:val="00150FC7"/>
    <w:rsid w:val="00151C96"/>
    <w:rsid w:val="00151E9B"/>
    <w:rsid w:val="001522BF"/>
    <w:rsid w:val="00152307"/>
    <w:rsid w:val="0015279E"/>
    <w:rsid w:val="00152AC8"/>
    <w:rsid w:val="00152DF5"/>
    <w:rsid w:val="00153112"/>
    <w:rsid w:val="00153774"/>
    <w:rsid w:val="00154568"/>
    <w:rsid w:val="001545DC"/>
    <w:rsid w:val="001545E9"/>
    <w:rsid w:val="00154913"/>
    <w:rsid w:val="00154CC4"/>
    <w:rsid w:val="00154D9C"/>
    <w:rsid w:val="00154E83"/>
    <w:rsid w:val="0015525E"/>
    <w:rsid w:val="001553BC"/>
    <w:rsid w:val="00155887"/>
    <w:rsid w:val="00155ACC"/>
    <w:rsid w:val="0015646F"/>
    <w:rsid w:val="00156607"/>
    <w:rsid w:val="00156853"/>
    <w:rsid w:val="00156A5E"/>
    <w:rsid w:val="00156B0C"/>
    <w:rsid w:val="00156DF4"/>
    <w:rsid w:val="0015722A"/>
    <w:rsid w:val="00157434"/>
    <w:rsid w:val="001575FE"/>
    <w:rsid w:val="00157644"/>
    <w:rsid w:val="0015784A"/>
    <w:rsid w:val="00157997"/>
    <w:rsid w:val="00157B62"/>
    <w:rsid w:val="001602BF"/>
    <w:rsid w:val="001606D6"/>
    <w:rsid w:val="00160720"/>
    <w:rsid w:val="0016078A"/>
    <w:rsid w:val="001607B8"/>
    <w:rsid w:val="00160D6E"/>
    <w:rsid w:val="0016128E"/>
    <w:rsid w:val="00161520"/>
    <w:rsid w:val="001618C5"/>
    <w:rsid w:val="00161D9B"/>
    <w:rsid w:val="00161F55"/>
    <w:rsid w:val="00162050"/>
    <w:rsid w:val="001631A0"/>
    <w:rsid w:val="00163633"/>
    <w:rsid w:val="00163658"/>
    <w:rsid w:val="00163D86"/>
    <w:rsid w:val="00163E62"/>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0AE"/>
    <w:rsid w:val="001663E1"/>
    <w:rsid w:val="001665A0"/>
    <w:rsid w:val="00166659"/>
    <w:rsid w:val="001669E5"/>
    <w:rsid w:val="00166E49"/>
    <w:rsid w:val="00166EFA"/>
    <w:rsid w:val="0016798D"/>
    <w:rsid w:val="00167DC6"/>
    <w:rsid w:val="00167DD8"/>
    <w:rsid w:val="00167EB8"/>
    <w:rsid w:val="00167EBA"/>
    <w:rsid w:val="0017044B"/>
    <w:rsid w:val="001705CE"/>
    <w:rsid w:val="0017092A"/>
    <w:rsid w:val="00170B7A"/>
    <w:rsid w:val="00170F55"/>
    <w:rsid w:val="0017103E"/>
    <w:rsid w:val="00171677"/>
    <w:rsid w:val="00171776"/>
    <w:rsid w:val="001719BD"/>
    <w:rsid w:val="001719E3"/>
    <w:rsid w:val="00171EE9"/>
    <w:rsid w:val="00172053"/>
    <w:rsid w:val="001722FC"/>
    <w:rsid w:val="00172715"/>
    <w:rsid w:val="00172814"/>
    <w:rsid w:val="00172A27"/>
    <w:rsid w:val="00172ACA"/>
    <w:rsid w:val="00172C9C"/>
    <w:rsid w:val="00173095"/>
    <w:rsid w:val="0017342A"/>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3D4B"/>
    <w:rsid w:val="00194813"/>
    <w:rsid w:val="00194D22"/>
    <w:rsid w:val="00194F70"/>
    <w:rsid w:val="0019508B"/>
    <w:rsid w:val="001956BB"/>
    <w:rsid w:val="00195AC9"/>
    <w:rsid w:val="00195F55"/>
    <w:rsid w:val="00196639"/>
    <w:rsid w:val="00196670"/>
    <w:rsid w:val="0019675D"/>
    <w:rsid w:val="001967D5"/>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18"/>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9B1"/>
    <w:rsid w:val="001A6CF3"/>
    <w:rsid w:val="001A6FFD"/>
    <w:rsid w:val="001A75B6"/>
    <w:rsid w:val="001A762D"/>
    <w:rsid w:val="001A7762"/>
    <w:rsid w:val="001A78A8"/>
    <w:rsid w:val="001A78CF"/>
    <w:rsid w:val="001A7C78"/>
    <w:rsid w:val="001A7CC0"/>
    <w:rsid w:val="001A7D66"/>
    <w:rsid w:val="001A7E98"/>
    <w:rsid w:val="001A7FCC"/>
    <w:rsid w:val="001B00F8"/>
    <w:rsid w:val="001B010B"/>
    <w:rsid w:val="001B0594"/>
    <w:rsid w:val="001B068B"/>
    <w:rsid w:val="001B086E"/>
    <w:rsid w:val="001B0D0A"/>
    <w:rsid w:val="001B0F3F"/>
    <w:rsid w:val="001B1739"/>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3DED"/>
    <w:rsid w:val="001C403F"/>
    <w:rsid w:val="001C4064"/>
    <w:rsid w:val="001C4597"/>
    <w:rsid w:val="001C4ABB"/>
    <w:rsid w:val="001C4B19"/>
    <w:rsid w:val="001C4F7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05"/>
    <w:rsid w:val="001D34F1"/>
    <w:rsid w:val="001D3910"/>
    <w:rsid w:val="001D3D04"/>
    <w:rsid w:val="001D3F5E"/>
    <w:rsid w:val="001D41EB"/>
    <w:rsid w:val="001D45FF"/>
    <w:rsid w:val="001D4840"/>
    <w:rsid w:val="001D5020"/>
    <w:rsid w:val="001D5024"/>
    <w:rsid w:val="001D502E"/>
    <w:rsid w:val="001D55C7"/>
    <w:rsid w:val="001D586F"/>
    <w:rsid w:val="001D5CC1"/>
    <w:rsid w:val="001D5F96"/>
    <w:rsid w:val="001D6203"/>
    <w:rsid w:val="001D6865"/>
    <w:rsid w:val="001D6B3E"/>
    <w:rsid w:val="001D6BAE"/>
    <w:rsid w:val="001D71C4"/>
    <w:rsid w:val="001D7402"/>
    <w:rsid w:val="001D7696"/>
    <w:rsid w:val="001D7859"/>
    <w:rsid w:val="001D7AAB"/>
    <w:rsid w:val="001D7BE6"/>
    <w:rsid w:val="001D7C94"/>
    <w:rsid w:val="001D7F56"/>
    <w:rsid w:val="001D7F5D"/>
    <w:rsid w:val="001E00B3"/>
    <w:rsid w:val="001E0631"/>
    <w:rsid w:val="001E07FB"/>
    <w:rsid w:val="001E0BA7"/>
    <w:rsid w:val="001E0E35"/>
    <w:rsid w:val="001E11C6"/>
    <w:rsid w:val="001E18F5"/>
    <w:rsid w:val="001E1A77"/>
    <w:rsid w:val="001E2622"/>
    <w:rsid w:val="001E267E"/>
    <w:rsid w:val="001E26C4"/>
    <w:rsid w:val="001E2793"/>
    <w:rsid w:val="001E334A"/>
    <w:rsid w:val="001E364E"/>
    <w:rsid w:val="001E3729"/>
    <w:rsid w:val="001E37C8"/>
    <w:rsid w:val="001E3BCD"/>
    <w:rsid w:val="001E3C4C"/>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9FC"/>
    <w:rsid w:val="001F0A4C"/>
    <w:rsid w:val="001F0E75"/>
    <w:rsid w:val="001F12C8"/>
    <w:rsid w:val="001F1425"/>
    <w:rsid w:val="001F1AE0"/>
    <w:rsid w:val="001F21A7"/>
    <w:rsid w:val="001F251F"/>
    <w:rsid w:val="001F28BB"/>
    <w:rsid w:val="001F2AD7"/>
    <w:rsid w:val="001F2E19"/>
    <w:rsid w:val="001F31EA"/>
    <w:rsid w:val="001F334D"/>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833"/>
    <w:rsid w:val="00200972"/>
    <w:rsid w:val="00200A8C"/>
    <w:rsid w:val="00200CB0"/>
    <w:rsid w:val="0020100A"/>
    <w:rsid w:val="00201128"/>
    <w:rsid w:val="0020119C"/>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4E4"/>
    <w:rsid w:val="0020468A"/>
    <w:rsid w:val="002049FA"/>
    <w:rsid w:val="00204EBE"/>
    <w:rsid w:val="00204EE8"/>
    <w:rsid w:val="002052E3"/>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C5D"/>
    <w:rsid w:val="00210DEC"/>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03B"/>
    <w:rsid w:val="00215483"/>
    <w:rsid w:val="0021553D"/>
    <w:rsid w:val="00215A32"/>
    <w:rsid w:val="00215AC0"/>
    <w:rsid w:val="00215EE3"/>
    <w:rsid w:val="00215F78"/>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4B3"/>
    <w:rsid w:val="00221537"/>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C9"/>
    <w:rsid w:val="00225AF4"/>
    <w:rsid w:val="00225E4E"/>
    <w:rsid w:val="002261C0"/>
    <w:rsid w:val="002268E2"/>
    <w:rsid w:val="002268F2"/>
    <w:rsid w:val="00226CE8"/>
    <w:rsid w:val="00227BA0"/>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410E"/>
    <w:rsid w:val="0023458A"/>
    <w:rsid w:val="00234702"/>
    <w:rsid w:val="00234D9C"/>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4003C"/>
    <w:rsid w:val="002402C0"/>
    <w:rsid w:val="00240405"/>
    <w:rsid w:val="0024056D"/>
    <w:rsid w:val="00240773"/>
    <w:rsid w:val="00240A90"/>
    <w:rsid w:val="00240C3D"/>
    <w:rsid w:val="00240FC3"/>
    <w:rsid w:val="002410D7"/>
    <w:rsid w:val="002410E9"/>
    <w:rsid w:val="0024169D"/>
    <w:rsid w:val="00241D95"/>
    <w:rsid w:val="00242011"/>
    <w:rsid w:val="00242131"/>
    <w:rsid w:val="002421C7"/>
    <w:rsid w:val="00242455"/>
    <w:rsid w:val="002424E5"/>
    <w:rsid w:val="00242D31"/>
    <w:rsid w:val="00242E94"/>
    <w:rsid w:val="00242EBC"/>
    <w:rsid w:val="00242FFD"/>
    <w:rsid w:val="00243527"/>
    <w:rsid w:val="00243846"/>
    <w:rsid w:val="0024388A"/>
    <w:rsid w:val="00243A8D"/>
    <w:rsid w:val="00243DA6"/>
    <w:rsid w:val="00243F99"/>
    <w:rsid w:val="002441D4"/>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E9"/>
    <w:rsid w:val="00246A3D"/>
    <w:rsid w:val="00246F00"/>
    <w:rsid w:val="00247A60"/>
    <w:rsid w:val="00247CE7"/>
    <w:rsid w:val="00247D12"/>
    <w:rsid w:val="00247DAA"/>
    <w:rsid w:val="00247DEA"/>
    <w:rsid w:val="00247DF0"/>
    <w:rsid w:val="00247F83"/>
    <w:rsid w:val="00250170"/>
    <w:rsid w:val="00250404"/>
    <w:rsid w:val="0025053C"/>
    <w:rsid w:val="00250877"/>
    <w:rsid w:val="002508B6"/>
    <w:rsid w:val="002509C9"/>
    <w:rsid w:val="00250C01"/>
    <w:rsid w:val="00250C2C"/>
    <w:rsid w:val="00251109"/>
    <w:rsid w:val="0025132B"/>
    <w:rsid w:val="002516ED"/>
    <w:rsid w:val="00251827"/>
    <w:rsid w:val="0025195C"/>
    <w:rsid w:val="00252543"/>
    <w:rsid w:val="00252712"/>
    <w:rsid w:val="00252C55"/>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1E99"/>
    <w:rsid w:val="002620E5"/>
    <w:rsid w:val="0026265B"/>
    <w:rsid w:val="00262693"/>
    <w:rsid w:val="00262973"/>
    <w:rsid w:val="00262A86"/>
    <w:rsid w:val="00262ED0"/>
    <w:rsid w:val="0026308B"/>
    <w:rsid w:val="00263355"/>
    <w:rsid w:val="002634C3"/>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67E7C"/>
    <w:rsid w:val="002704F1"/>
    <w:rsid w:val="00270538"/>
    <w:rsid w:val="00270724"/>
    <w:rsid w:val="0027086D"/>
    <w:rsid w:val="00270C18"/>
    <w:rsid w:val="00270DA4"/>
    <w:rsid w:val="00270DAA"/>
    <w:rsid w:val="0027133C"/>
    <w:rsid w:val="002714A1"/>
    <w:rsid w:val="002714EC"/>
    <w:rsid w:val="002715CE"/>
    <w:rsid w:val="0027178A"/>
    <w:rsid w:val="002719EC"/>
    <w:rsid w:val="002723BA"/>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E4"/>
    <w:rsid w:val="00276473"/>
    <w:rsid w:val="002765E5"/>
    <w:rsid w:val="00276701"/>
    <w:rsid w:val="00276B41"/>
    <w:rsid w:val="00276C63"/>
    <w:rsid w:val="00276E7A"/>
    <w:rsid w:val="00277270"/>
    <w:rsid w:val="002772D0"/>
    <w:rsid w:val="0027746F"/>
    <w:rsid w:val="00277646"/>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4AA4"/>
    <w:rsid w:val="002851A4"/>
    <w:rsid w:val="00285878"/>
    <w:rsid w:val="00285AEF"/>
    <w:rsid w:val="00285C28"/>
    <w:rsid w:val="002860A4"/>
    <w:rsid w:val="00286362"/>
    <w:rsid w:val="00286366"/>
    <w:rsid w:val="002863F4"/>
    <w:rsid w:val="00286527"/>
    <w:rsid w:val="00286544"/>
    <w:rsid w:val="00286920"/>
    <w:rsid w:val="00286AFA"/>
    <w:rsid w:val="00286BF7"/>
    <w:rsid w:val="00286D84"/>
    <w:rsid w:val="0028727D"/>
    <w:rsid w:val="002872F0"/>
    <w:rsid w:val="00287693"/>
    <w:rsid w:val="00287959"/>
    <w:rsid w:val="00287B6A"/>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E27"/>
    <w:rsid w:val="00295F0E"/>
    <w:rsid w:val="00296095"/>
    <w:rsid w:val="0029623A"/>
    <w:rsid w:val="002963F2"/>
    <w:rsid w:val="002965EA"/>
    <w:rsid w:val="002965F8"/>
    <w:rsid w:val="002967F3"/>
    <w:rsid w:val="00296CD1"/>
    <w:rsid w:val="00296F66"/>
    <w:rsid w:val="00297100"/>
    <w:rsid w:val="0029725E"/>
    <w:rsid w:val="002974A3"/>
    <w:rsid w:val="002974E7"/>
    <w:rsid w:val="00297D8E"/>
    <w:rsid w:val="00297ED4"/>
    <w:rsid w:val="002A0035"/>
    <w:rsid w:val="002A007E"/>
    <w:rsid w:val="002A0792"/>
    <w:rsid w:val="002A0D16"/>
    <w:rsid w:val="002A1138"/>
    <w:rsid w:val="002A1143"/>
    <w:rsid w:val="002A141A"/>
    <w:rsid w:val="002A1547"/>
    <w:rsid w:val="002A15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4FE9"/>
    <w:rsid w:val="002A5117"/>
    <w:rsid w:val="002A52DB"/>
    <w:rsid w:val="002A53E0"/>
    <w:rsid w:val="002A55CA"/>
    <w:rsid w:val="002A5720"/>
    <w:rsid w:val="002A5752"/>
    <w:rsid w:val="002A576B"/>
    <w:rsid w:val="002A57BE"/>
    <w:rsid w:val="002A5A9F"/>
    <w:rsid w:val="002A5AA9"/>
    <w:rsid w:val="002A5AC5"/>
    <w:rsid w:val="002A5E9E"/>
    <w:rsid w:val="002A6F4F"/>
    <w:rsid w:val="002A7AB3"/>
    <w:rsid w:val="002A7C12"/>
    <w:rsid w:val="002A7D65"/>
    <w:rsid w:val="002A7E40"/>
    <w:rsid w:val="002A7EEE"/>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2129"/>
    <w:rsid w:val="002B24A2"/>
    <w:rsid w:val="002B2594"/>
    <w:rsid w:val="002B263F"/>
    <w:rsid w:val="002B2AC0"/>
    <w:rsid w:val="002B2E04"/>
    <w:rsid w:val="002B2FA6"/>
    <w:rsid w:val="002B2FC2"/>
    <w:rsid w:val="002B3231"/>
    <w:rsid w:val="002B34A8"/>
    <w:rsid w:val="002B34FB"/>
    <w:rsid w:val="002B38C1"/>
    <w:rsid w:val="002B4068"/>
    <w:rsid w:val="002B474B"/>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855"/>
    <w:rsid w:val="002C0958"/>
    <w:rsid w:val="002C0B5D"/>
    <w:rsid w:val="002C0B93"/>
    <w:rsid w:val="002C102E"/>
    <w:rsid w:val="002C12AB"/>
    <w:rsid w:val="002C1467"/>
    <w:rsid w:val="002C1867"/>
    <w:rsid w:val="002C1CE4"/>
    <w:rsid w:val="002C1FA5"/>
    <w:rsid w:val="002C202A"/>
    <w:rsid w:val="002C2193"/>
    <w:rsid w:val="002C23A3"/>
    <w:rsid w:val="002C2522"/>
    <w:rsid w:val="002C2E27"/>
    <w:rsid w:val="002C2E5D"/>
    <w:rsid w:val="002C2E78"/>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087"/>
    <w:rsid w:val="002C6145"/>
    <w:rsid w:val="002C64A1"/>
    <w:rsid w:val="002C65C8"/>
    <w:rsid w:val="002C6870"/>
    <w:rsid w:val="002C6A72"/>
    <w:rsid w:val="002C6B21"/>
    <w:rsid w:val="002C6B23"/>
    <w:rsid w:val="002C6D68"/>
    <w:rsid w:val="002C6EF1"/>
    <w:rsid w:val="002C75D0"/>
    <w:rsid w:val="002C7ACC"/>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0CE"/>
    <w:rsid w:val="002D31DB"/>
    <w:rsid w:val="002D31FB"/>
    <w:rsid w:val="002D357A"/>
    <w:rsid w:val="002D35A4"/>
    <w:rsid w:val="002D3A57"/>
    <w:rsid w:val="002D402A"/>
    <w:rsid w:val="002D4142"/>
    <w:rsid w:val="002D4327"/>
    <w:rsid w:val="002D4329"/>
    <w:rsid w:val="002D43D9"/>
    <w:rsid w:val="002D47EF"/>
    <w:rsid w:val="002D48FF"/>
    <w:rsid w:val="002D4B7C"/>
    <w:rsid w:val="002D589E"/>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7DB"/>
    <w:rsid w:val="002E57F0"/>
    <w:rsid w:val="002E58D1"/>
    <w:rsid w:val="002E5A3B"/>
    <w:rsid w:val="002E5F34"/>
    <w:rsid w:val="002E612D"/>
    <w:rsid w:val="002E64AC"/>
    <w:rsid w:val="002E65CD"/>
    <w:rsid w:val="002E68BD"/>
    <w:rsid w:val="002E6E72"/>
    <w:rsid w:val="002E6FD2"/>
    <w:rsid w:val="002E733D"/>
    <w:rsid w:val="002E79FA"/>
    <w:rsid w:val="002F0052"/>
    <w:rsid w:val="002F0222"/>
    <w:rsid w:val="002F049D"/>
    <w:rsid w:val="002F04FE"/>
    <w:rsid w:val="002F0C48"/>
    <w:rsid w:val="002F17BA"/>
    <w:rsid w:val="002F185A"/>
    <w:rsid w:val="002F1E2F"/>
    <w:rsid w:val="002F1F43"/>
    <w:rsid w:val="002F2642"/>
    <w:rsid w:val="002F2CF7"/>
    <w:rsid w:val="002F2E5C"/>
    <w:rsid w:val="002F2F4A"/>
    <w:rsid w:val="002F3376"/>
    <w:rsid w:val="002F3461"/>
    <w:rsid w:val="002F3478"/>
    <w:rsid w:val="002F3492"/>
    <w:rsid w:val="002F397E"/>
    <w:rsid w:val="002F3A24"/>
    <w:rsid w:val="002F3DB9"/>
    <w:rsid w:val="002F4121"/>
    <w:rsid w:val="002F4367"/>
    <w:rsid w:val="002F45FE"/>
    <w:rsid w:val="002F48D4"/>
    <w:rsid w:val="002F4A44"/>
    <w:rsid w:val="002F4C00"/>
    <w:rsid w:val="002F4EA5"/>
    <w:rsid w:val="002F522A"/>
    <w:rsid w:val="002F5544"/>
    <w:rsid w:val="002F566B"/>
    <w:rsid w:val="002F5731"/>
    <w:rsid w:val="002F581D"/>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4D5"/>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853"/>
    <w:rsid w:val="00312B66"/>
    <w:rsid w:val="00312F0F"/>
    <w:rsid w:val="00313774"/>
    <w:rsid w:val="00313B14"/>
    <w:rsid w:val="00314004"/>
    <w:rsid w:val="0031422A"/>
    <w:rsid w:val="00314408"/>
    <w:rsid w:val="00314489"/>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749"/>
    <w:rsid w:val="003318D6"/>
    <w:rsid w:val="00331E0D"/>
    <w:rsid w:val="0033205A"/>
    <w:rsid w:val="003322B7"/>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3E"/>
    <w:rsid w:val="003343A3"/>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5E88"/>
    <w:rsid w:val="003361A3"/>
    <w:rsid w:val="0033688B"/>
    <w:rsid w:val="00336B46"/>
    <w:rsid w:val="00336DFE"/>
    <w:rsid w:val="0033748D"/>
    <w:rsid w:val="003376E0"/>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42"/>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7AA"/>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4BC"/>
    <w:rsid w:val="0036062D"/>
    <w:rsid w:val="003606BF"/>
    <w:rsid w:val="0036097D"/>
    <w:rsid w:val="00360D5D"/>
    <w:rsid w:val="00361163"/>
    <w:rsid w:val="0036128C"/>
    <w:rsid w:val="00361C30"/>
    <w:rsid w:val="003620FE"/>
    <w:rsid w:val="0036213C"/>
    <w:rsid w:val="00362D3F"/>
    <w:rsid w:val="00363216"/>
    <w:rsid w:val="003632D5"/>
    <w:rsid w:val="00363CDA"/>
    <w:rsid w:val="003640D0"/>
    <w:rsid w:val="00364A79"/>
    <w:rsid w:val="00365843"/>
    <w:rsid w:val="003658A6"/>
    <w:rsid w:val="00365A30"/>
    <w:rsid w:val="00366226"/>
    <w:rsid w:val="003663AD"/>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218"/>
    <w:rsid w:val="00372296"/>
    <w:rsid w:val="003722DD"/>
    <w:rsid w:val="00372575"/>
    <w:rsid w:val="00372683"/>
    <w:rsid w:val="003726FC"/>
    <w:rsid w:val="00372728"/>
    <w:rsid w:val="00372C2A"/>
    <w:rsid w:val="00372D23"/>
    <w:rsid w:val="00372D64"/>
    <w:rsid w:val="00372FAB"/>
    <w:rsid w:val="00373079"/>
    <w:rsid w:val="003731CF"/>
    <w:rsid w:val="00373383"/>
    <w:rsid w:val="003736CB"/>
    <w:rsid w:val="003738B5"/>
    <w:rsid w:val="0037394A"/>
    <w:rsid w:val="00373B6C"/>
    <w:rsid w:val="00373D74"/>
    <w:rsid w:val="00373E23"/>
    <w:rsid w:val="0037412A"/>
    <w:rsid w:val="00374599"/>
    <w:rsid w:val="00374727"/>
    <w:rsid w:val="0037480A"/>
    <w:rsid w:val="00374834"/>
    <w:rsid w:val="00374856"/>
    <w:rsid w:val="003749BD"/>
    <w:rsid w:val="00374C16"/>
    <w:rsid w:val="00374CE9"/>
    <w:rsid w:val="00374E51"/>
    <w:rsid w:val="00375342"/>
    <w:rsid w:val="00375349"/>
    <w:rsid w:val="00375905"/>
    <w:rsid w:val="00375B88"/>
    <w:rsid w:val="00375BD6"/>
    <w:rsid w:val="00376264"/>
    <w:rsid w:val="003769CB"/>
    <w:rsid w:val="00376A10"/>
    <w:rsid w:val="00376D39"/>
    <w:rsid w:val="00376EB8"/>
    <w:rsid w:val="00376F5A"/>
    <w:rsid w:val="00377131"/>
    <w:rsid w:val="00377EE6"/>
    <w:rsid w:val="00377F90"/>
    <w:rsid w:val="00377F99"/>
    <w:rsid w:val="00380215"/>
    <w:rsid w:val="00380856"/>
    <w:rsid w:val="00380939"/>
    <w:rsid w:val="00380B59"/>
    <w:rsid w:val="00380E6D"/>
    <w:rsid w:val="00381849"/>
    <w:rsid w:val="00381B21"/>
    <w:rsid w:val="00381C9E"/>
    <w:rsid w:val="00382208"/>
    <w:rsid w:val="00382284"/>
    <w:rsid w:val="003825BB"/>
    <w:rsid w:val="0038280E"/>
    <w:rsid w:val="003828F3"/>
    <w:rsid w:val="00382C26"/>
    <w:rsid w:val="00383C01"/>
    <w:rsid w:val="00383CFF"/>
    <w:rsid w:val="003840EF"/>
    <w:rsid w:val="003842AA"/>
    <w:rsid w:val="003842D0"/>
    <w:rsid w:val="003843E2"/>
    <w:rsid w:val="00384687"/>
    <w:rsid w:val="00384CA8"/>
    <w:rsid w:val="00385031"/>
    <w:rsid w:val="00385102"/>
    <w:rsid w:val="00385259"/>
    <w:rsid w:val="00385418"/>
    <w:rsid w:val="00385437"/>
    <w:rsid w:val="0038582F"/>
    <w:rsid w:val="00385CFF"/>
    <w:rsid w:val="00385D9A"/>
    <w:rsid w:val="00385EBA"/>
    <w:rsid w:val="003863C3"/>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20"/>
    <w:rsid w:val="00393F9A"/>
    <w:rsid w:val="00394004"/>
    <w:rsid w:val="00394121"/>
    <w:rsid w:val="00394630"/>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1BA"/>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5B2"/>
    <w:rsid w:val="003B15EB"/>
    <w:rsid w:val="003B1C4D"/>
    <w:rsid w:val="003B1F04"/>
    <w:rsid w:val="003B22A8"/>
    <w:rsid w:val="003B232F"/>
    <w:rsid w:val="003B24DD"/>
    <w:rsid w:val="003B2852"/>
    <w:rsid w:val="003B29F3"/>
    <w:rsid w:val="003B2A50"/>
    <w:rsid w:val="003B2AE3"/>
    <w:rsid w:val="003B2B07"/>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F67"/>
    <w:rsid w:val="003B6D0A"/>
    <w:rsid w:val="003B6DD3"/>
    <w:rsid w:val="003B7E32"/>
    <w:rsid w:val="003B7EAF"/>
    <w:rsid w:val="003C03B0"/>
    <w:rsid w:val="003C06C7"/>
    <w:rsid w:val="003C085D"/>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E02"/>
    <w:rsid w:val="003C6184"/>
    <w:rsid w:val="003C6531"/>
    <w:rsid w:val="003C6A55"/>
    <w:rsid w:val="003C6B1D"/>
    <w:rsid w:val="003C6BAE"/>
    <w:rsid w:val="003C6CAB"/>
    <w:rsid w:val="003C7449"/>
    <w:rsid w:val="003C7514"/>
    <w:rsid w:val="003C774C"/>
    <w:rsid w:val="003C79D8"/>
    <w:rsid w:val="003C7C3B"/>
    <w:rsid w:val="003D0038"/>
    <w:rsid w:val="003D0388"/>
    <w:rsid w:val="003D073B"/>
    <w:rsid w:val="003D0A31"/>
    <w:rsid w:val="003D0C73"/>
    <w:rsid w:val="003D0D98"/>
    <w:rsid w:val="003D1123"/>
    <w:rsid w:val="003D1F75"/>
    <w:rsid w:val="003D2158"/>
    <w:rsid w:val="003D21D5"/>
    <w:rsid w:val="003D2477"/>
    <w:rsid w:val="003D2927"/>
    <w:rsid w:val="003D2C21"/>
    <w:rsid w:val="003D2E15"/>
    <w:rsid w:val="003D2F96"/>
    <w:rsid w:val="003D32EC"/>
    <w:rsid w:val="003D35B6"/>
    <w:rsid w:val="003D35C8"/>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DDE"/>
    <w:rsid w:val="003D6E73"/>
    <w:rsid w:val="003D7049"/>
    <w:rsid w:val="003D74CC"/>
    <w:rsid w:val="003E0199"/>
    <w:rsid w:val="003E0358"/>
    <w:rsid w:val="003E0ADC"/>
    <w:rsid w:val="003E13D9"/>
    <w:rsid w:val="003E1907"/>
    <w:rsid w:val="003E1948"/>
    <w:rsid w:val="003E2253"/>
    <w:rsid w:val="003E233C"/>
    <w:rsid w:val="003E2A8D"/>
    <w:rsid w:val="003E2D63"/>
    <w:rsid w:val="003E3577"/>
    <w:rsid w:val="003E363F"/>
    <w:rsid w:val="003E36B1"/>
    <w:rsid w:val="003E36C7"/>
    <w:rsid w:val="003E37EF"/>
    <w:rsid w:val="003E38A2"/>
    <w:rsid w:val="003E3925"/>
    <w:rsid w:val="003E3C64"/>
    <w:rsid w:val="003E3D63"/>
    <w:rsid w:val="003E3F01"/>
    <w:rsid w:val="003E40D0"/>
    <w:rsid w:val="003E4352"/>
    <w:rsid w:val="003E4361"/>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95"/>
    <w:rsid w:val="003E6A88"/>
    <w:rsid w:val="003E6B51"/>
    <w:rsid w:val="003E7EC9"/>
    <w:rsid w:val="003F0008"/>
    <w:rsid w:val="003F0279"/>
    <w:rsid w:val="003F0332"/>
    <w:rsid w:val="003F050B"/>
    <w:rsid w:val="003F06D3"/>
    <w:rsid w:val="003F09B4"/>
    <w:rsid w:val="003F09EB"/>
    <w:rsid w:val="003F0A9A"/>
    <w:rsid w:val="003F150A"/>
    <w:rsid w:val="003F2118"/>
    <w:rsid w:val="003F212F"/>
    <w:rsid w:val="003F21AE"/>
    <w:rsid w:val="003F21D3"/>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355"/>
    <w:rsid w:val="003F748E"/>
    <w:rsid w:val="003F791E"/>
    <w:rsid w:val="003F7ABA"/>
    <w:rsid w:val="003F7B06"/>
    <w:rsid w:val="003F7DC5"/>
    <w:rsid w:val="003F7ED8"/>
    <w:rsid w:val="003F7EE3"/>
    <w:rsid w:val="003F7EE7"/>
    <w:rsid w:val="003F7F45"/>
    <w:rsid w:val="00400190"/>
    <w:rsid w:val="00400459"/>
    <w:rsid w:val="0040046F"/>
    <w:rsid w:val="0040049A"/>
    <w:rsid w:val="00400B51"/>
    <w:rsid w:val="00400F74"/>
    <w:rsid w:val="00401123"/>
    <w:rsid w:val="00401328"/>
    <w:rsid w:val="00401807"/>
    <w:rsid w:val="004018A5"/>
    <w:rsid w:val="00401AD1"/>
    <w:rsid w:val="00401D95"/>
    <w:rsid w:val="004022F4"/>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291"/>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FB"/>
    <w:rsid w:val="00407D95"/>
    <w:rsid w:val="00407DCF"/>
    <w:rsid w:val="00407F34"/>
    <w:rsid w:val="004104A8"/>
    <w:rsid w:val="004107B3"/>
    <w:rsid w:val="00410E18"/>
    <w:rsid w:val="004111C5"/>
    <w:rsid w:val="00411292"/>
    <w:rsid w:val="00411304"/>
    <w:rsid w:val="0041171F"/>
    <w:rsid w:val="00411ADF"/>
    <w:rsid w:val="00411BCC"/>
    <w:rsid w:val="00411BE6"/>
    <w:rsid w:val="00411DBA"/>
    <w:rsid w:val="004122BE"/>
    <w:rsid w:val="0041265A"/>
    <w:rsid w:val="004126C8"/>
    <w:rsid w:val="0041294A"/>
    <w:rsid w:val="00412B72"/>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C0C"/>
    <w:rsid w:val="00422D37"/>
    <w:rsid w:val="00422E61"/>
    <w:rsid w:val="00423435"/>
    <w:rsid w:val="0042392E"/>
    <w:rsid w:val="00423B88"/>
    <w:rsid w:val="00423E1D"/>
    <w:rsid w:val="00423F94"/>
    <w:rsid w:val="004241A7"/>
    <w:rsid w:val="004245B2"/>
    <w:rsid w:val="00424D1C"/>
    <w:rsid w:val="004252BF"/>
    <w:rsid w:val="00425373"/>
    <w:rsid w:val="004253AE"/>
    <w:rsid w:val="0042553B"/>
    <w:rsid w:val="004264CE"/>
    <w:rsid w:val="0042675C"/>
    <w:rsid w:val="00426C1A"/>
    <w:rsid w:val="00426C24"/>
    <w:rsid w:val="00426EBE"/>
    <w:rsid w:val="00427AC8"/>
    <w:rsid w:val="004300AC"/>
    <w:rsid w:val="00430107"/>
    <w:rsid w:val="00430301"/>
    <w:rsid w:val="00430B0D"/>
    <w:rsid w:val="00431069"/>
    <w:rsid w:val="00431A5E"/>
    <w:rsid w:val="00431DB5"/>
    <w:rsid w:val="00431EDD"/>
    <w:rsid w:val="00432133"/>
    <w:rsid w:val="00432360"/>
    <w:rsid w:val="00432534"/>
    <w:rsid w:val="00432692"/>
    <w:rsid w:val="004329F5"/>
    <w:rsid w:val="00432A24"/>
    <w:rsid w:val="00432E00"/>
    <w:rsid w:val="004335EC"/>
    <w:rsid w:val="00433796"/>
    <w:rsid w:val="00433909"/>
    <w:rsid w:val="00433A6A"/>
    <w:rsid w:val="00433E6D"/>
    <w:rsid w:val="00433E90"/>
    <w:rsid w:val="004340C6"/>
    <w:rsid w:val="004345CE"/>
    <w:rsid w:val="004345F0"/>
    <w:rsid w:val="00434766"/>
    <w:rsid w:val="00434B8E"/>
    <w:rsid w:val="004352CF"/>
    <w:rsid w:val="0043560C"/>
    <w:rsid w:val="004360BD"/>
    <w:rsid w:val="0043622F"/>
    <w:rsid w:val="004364B0"/>
    <w:rsid w:val="004365FF"/>
    <w:rsid w:val="00436A13"/>
    <w:rsid w:val="004371D4"/>
    <w:rsid w:val="004373DC"/>
    <w:rsid w:val="00437755"/>
    <w:rsid w:val="0043782F"/>
    <w:rsid w:val="00437B02"/>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B7A"/>
    <w:rsid w:val="00445EA2"/>
    <w:rsid w:val="00445F65"/>
    <w:rsid w:val="004463DC"/>
    <w:rsid w:val="004463DD"/>
    <w:rsid w:val="0044664C"/>
    <w:rsid w:val="004466AD"/>
    <w:rsid w:val="00446701"/>
    <w:rsid w:val="00446BBA"/>
    <w:rsid w:val="00446E50"/>
    <w:rsid w:val="00447188"/>
    <w:rsid w:val="0044776A"/>
    <w:rsid w:val="00447803"/>
    <w:rsid w:val="00447BC1"/>
    <w:rsid w:val="00447CE3"/>
    <w:rsid w:val="00447F0D"/>
    <w:rsid w:val="00447FF4"/>
    <w:rsid w:val="004500A3"/>
    <w:rsid w:val="00450246"/>
    <w:rsid w:val="00450349"/>
    <w:rsid w:val="00450373"/>
    <w:rsid w:val="004503A2"/>
    <w:rsid w:val="004504FF"/>
    <w:rsid w:val="0045088C"/>
    <w:rsid w:val="00450C00"/>
    <w:rsid w:val="00450C84"/>
    <w:rsid w:val="00451A38"/>
    <w:rsid w:val="00451ACA"/>
    <w:rsid w:val="00451ADC"/>
    <w:rsid w:val="0045219E"/>
    <w:rsid w:val="00452413"/>
    <w:rsid w:val="004524E3"/>
    <w:rsid w:val="004525E6"/>
    <w:rsid w:val="004525FA"/>
    <w:rsid w:val="00452B58"/>
    <w:rsid w:val="00452B9D"/>
    <w:rsid w:val="00452DCB"/>
    <w:rsid w:val="004532E9"/>
    <w:rsid w:val="004535AC"/>
    <w:rsid w:val="00453808"/>
    <w:rsid w:val="00453D1D"/>
    <w:rsid w:val="00454653"/>
    <w:rsid w:val="004546FB"/>
    <w:rsid w:val="004549C3"/>
    <w:rsid w:val="00454E3A"/>
    <w:rsid w:val="00454EE2"/>
    <w:rsid w:val="00455112"/>
    <w:rsid w:val="004552E1"/>
    <w:rsid w:val="004554CD"/>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6AE"/>
    <w:rsid w:val="0046177F"/>
    <w:rsid w:val="00461AA1"/>
    <w:rsid w:val="00461C36"/>
    <w:rsid w:val="00461D4A"/>
    <w:rsid w:val="00461EBD"/>
    <w:rsid w:val="004621D4"/>
    <w:rsid w:val="00462672"/>
    <w:rsid w:val="00462985"/>
    <w:rsid w:val="00462C92"/>
    <w:rsid w:val="00462D0F"/>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6468"/>
    <w:rsid w:val="00466864"/>
    <w:rsid w:val="00466D3F"/>
    <w:rsid w:val="00466E9B"/>
    <w:rsid w:val="004677D5"/>
    <w:rsid w:val="00467AAF"/>
    <w:rsid w:val="00467AD2"/>
    <w:rsid w:val="00467B05"/>
    <w:rsid w:val="00467E92"/>
    <w:rsid w:val="00470B67"/>
    <w:rsid w:val="00470D83"/>
    <w:rsid w:val="00470F44"/>
    <w:rsid w:val="004710C0"/>
    <w:rsid w:val="0047121B"/>
    <w:rsid w:val="00471377"/>
    <w:rsid w:val="004713F0"/>
    <w:rsid w:val="00471731"/>
    <w:rsid w:val="004718E6"/>
    <w:rsid w:val="00471B42"/>
    <w:rsid w:val="00471E7C"/>
    <w:rsid w:val="004720D6"/>
    <w:rsid w:val="0047224D"/>
    <w:rsid w:val="00472BF7"/>
    <w:rsid w:val="00472D45"/>
    <w:rsid w:val="0047336B"/>
    <w:rsid w:val="004735C9"/>
    <w:rsid w:val="0047362F"/>
    <w:rsid w:val="00474037"/>
    <w:rsid w:val="00474349"/>
    <w:rsid w:val="00474E2D"/>
    <w:rsid w:val="00474F74"/>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67B"/>
    <w:rsid w:val="004836D9"/>
    <w:rsid w:val="004838AF"/>
    <w:rsid w:val="00483A49"/>
    <w:rsid w:val="00483B3C"/>
    <w:rsid w:val="00483D0D"/>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B2A"/>
    <w:rsid w:val="00490CE9"/>
    <w:rsid w:val="004916DF"/>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6FB"/>
    <w:rsid w:val="004A080A"/>
    <w:rsid w:val="004A0840"/>
    <w:rsid w:val="004A0D61"/>
    <w:rsid w:val="004A1DF6"/>
    <w:rsid w:val="004A1F4F"/>
    <w:rsid w:val="004A26A7"/>
    <w:rsid w:val="004A2A0E"/>
    <w:rsid w:val="004A2D69"/>
    <w:rsid w:val="004A2D71"/>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766"/>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E78"/>
    <w:rsid w:val="004C0E96"/>
    <w:rsid w:val="004C0F29"/>
    <w:rsid w:val="004C12F3"/>
    <w:rsid w:val="004C1525"/>
    <w:rsid w:val="004C19B8"/>
    <w:rsid w:val="004C1A8E"/>
    <w:rsid w:val="004C1C1B"/>
    <w:rsid w:val="004C1FD0"/>
    <w:rsid w:val="004C20BB"/>
    <w:rsid w:val="004C24FE"/>
    <w:rsid w:val="004C2BE2"/>
    <w:rsid w:val="004C2E70"/>
    <w:rsid w:val="004C3319"/>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961"/>
    <w:rsid w:val="004D0963"/>
    <w:rsid w:val="004D0A19"/>
    <w:rsid w:val="004D0FAD"/>
    <w:rsid w:val="004D0FFA"/>
    <w:rsid w:val="004D1299"/>
    <w:rsid w:val="004D1732"/>
    <w:rsid w:val="004D1853"/>
    <w:rsid w:val="004D1924"/>
    <w:rsid w:val="004D1C15"/>
    <w:rsid w:val="004D1C62"/>
    <w:rsid w:val="004D1CCC"/>
    <w:rsid w:val="004D1E12"/>
    <w:rsid w:val="004D2A56"/>
    <w:rsid w:val="004D2DB2"/>
    <w:rsid w:val="004D3177"/>
    <w:rsid w:val="004D35AD"/>
    <w:rsid w:val="004D3BF2"/>
    <w:rsid w:val="004D3E8A"/>
    <w:rsid w:val="004D3F29"/>
    <w:rsid w:val="004D40E4"/>
    <w:rsid w:val="004D4459"/>
    <w:rsid w:val="004D476D"/>
    <w:rsid w:val="004D4946"/>
    <w:rsid w:val="004D4DA8"/>
    <w:rsid w:val="004D4E3E"/>
    <w:rsid w:val="004D52A2"/>
    <w:rsid w:val="004D5552"/>
    <w:rsid w:val="004D5803"/>
    <w:rsid w:val="004D58F7"/>
    <w:rsid w:val="004D5EDD"/>
    <w:rsid w:val="004D6111"/>
    <w:rsid w:val="004D66C1"/>
    <w:rsid w:val="004D68B6"/>
    <w:rsid w:val="004D6CEF"/>
    <w:rsid w:val="004D73BE"/>
    <w:rsid w:val="004D75B2"/>
    <w:rsid w:val="004D7C14"/>
    <w:rsid w:val="004E028C"/>
    <w:rsid w:val="004E0554"/>
    <w:rsid w:val="004E0791"/>
    <w:rsid w:val="004E097A"/>
    <w:rsid w:val="004E09CD"/>
    <w:rsid w:val="004E1094"/>
    <w:rsid w:val="004E12A5"/>
    <w:rsid w:val="004E1780"/>
    <w:rsid w:val="004E2129"/>
    <w:rsid w:val="004E275F"/>
    <w:rsid w:val="004E27EC"/>
    <w:rsid w:val="004E2FF6"/>
    <w:rsid w:val="004E30DA"/>
    <w:rsid w:val="004E324C"/>
    <w:rsid w:val="004E3310"/>
    <w:rsid w:val="004E3693"/>
    <w:rsid w:val="004E3A0E"/>
    <w:rsid w:val="004E3ACB"/>
    <w:rsid w:val="004E3C4D"/>
    <w:rsid w:val="004E41FA"/>
    <w:rsid w:val="004E4883"/>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2190"/>
    <w:rsid w:val="004F223E"/>
    <w:rsid w:val="004F24CF"/>
    <w:rsid w:val="004F27A1"/>
    <w:rsid w:val="004F27CF"/>
    <w:rsid w:val="004F29F7"/>
    <w:rsid w:val="004F2C4C"/>
    <w:rsid w:val="004F322E"/>
    <w:rsid w:val="004F3304"/>
    <w:rsid w:val="004F336F"/>
    <w:rsid w:val="004F376F"/>
    <w:rsid w:val="004F3AA1"/>
    <w:rsid w:val="004F3B42"/>
    <w:rsid w:val="004F3C7C"/>
    <w:rsid w:val="004F3D50"/>
    <w:rsid w:val="004F3D93"/>
    <w:rsid w:val="004F3F3B"/>
    <w:rsid w:val="004F4146"/>
    <w:rsid w:val="004F41C9"/>
    <w:rsid w:val="004F4493"/>
    <w:rsid w:val="004F4710"/>
    <w:rsid w:val="004F48AC"/>
    <w:rsid w:val="004F4B9D"/>
    <w:rsid w:val="004F4C0A"/>
    <w:rsid w:val="004F4D04"/>
    <w:rsid w:val="004F4E65"/>
    <w:rsid w:val="004F51E3"/>
    <w:rsid w:val="004F51FB"/>
    <w:rsid w:val="004F541A"/>
    <w:rsid w:val="004F55DD"/>
    <w:rsid w:val="004F561F"/>
    <w:rsid w:val="004F570C"/>
    <w:rsid w:val="004F57E3"/>
    <w:rsid w:val="004F59B4"/>
    <w:rsid w:val="004F69AC"/>
    <w:rsid w:val="004F6CDD"/>
    <w:rsid w:val="004F70E8"/>
    <w:rsid w:val="004F7192"/>
    <w:rsid w:val="004F72AE"/>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28"/>
    <w:rsid w:val="00501BBE"/>
    <w:rsid w:val="00501F73"/>
    <w:rsid w:val="0050206E"/>
    <w:rsid w:val="005020E8"/>
    <w:rsid w:val="00502637"/>
    <w:rsid w:val="00502829"/>
    <w:rsid w:val="0050345B"/>
    <w:rsid w:val="00503889"/>
    <w:rsid w:val="00503A44"/>
    <w:rsid w:val="00503AF6"/>
    <w:rsid w:val="00503B2A"/>
    <w:rsid w:val="00503CE4"/>
    <w:rsid w:val="005046AB"/>
    <w:rsid w:val="00504C66"/>
    <w:rsid w:val="00504E80"/>
    <w:rsid w:val="00505788"/>
    <w:rsid w:val="00505A8D"/>
    <w:rsid w:val="00505AFE"/>
    <w:rsid w:val="00505B3F"/>
    <w:rsid w:val="00505C32"/>
    <w:rsid w:val="00505D8F"/>
    <w:rsid w:val="00506459"/>
    <w:rsid w:val="005068F8"/>
    <w:rsid w:val="00506A9B"/>
    <w:rsid w:val="00506BB3"/>
    <w:rsid w:val="005074F0"/>
    <w:rsid w:val="00507583"/>
    <w:rsid w:val="005076D6"/>
    <w:rsid w:val="00507876"/>
    <w:rsid w:val="00507BAF"/>
    <w:rsid w:val="00507D0E"/>
    <w:rsid w:val="00507ED9"/>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515"/>
    <w:rsid w:val="005137EA"/>
    <w:rsid w:val="00513AF1"/>
    <w:rsid w:val="005140C2"/>
    <w:rsid w:val="00514375"/>
    <w:rsid w:val="00514949"/>
    <w:rsid w:val="00514ACD"/>
    <w:rsid w:val="00514C9D"/>
    <w:rsid w:val="00514E2D"/>
    <w:rsid w:val="00514EB8"/>
    <w:rsid w:val="00514F94"/>
    <w:rsid w:val="00514FC5"/>
    <w:rsid w:val="00515035"/>
    <w:rsid w:val="0051511B"/>
    <w:rsid w:val="0051594B"/>
    <w:rsid w:val="00515DAB"/>
    <w:rsid w:val="005160BB"/>
    <w:rsid w:val="00516168"/>
    <w:rsid w:val="005163E6"/>
    <w:rsid w:val="0051665E"/>
    <w:rsid w:val="0051673C"/>
    <w:rsid w:val="00516D7B"/>
    <w:rsid w:val="00517196"/>
    <w:rsid w:val="005173CE"/>
    <w:rsid w:val="005178BF"/>
    <w:rsid w:val="00517994"/>
    <w:rsid w:val="00517E9F"/>
    <w:rsid w:val="0052014E"/>
    <w:rsid w:val="00520493"/>
    <w:rsid w:val="00520969"/>
    <w:rsid w:val="00520BC1"/>
    <w:rsid w:val="00520BDC"/>
    <w:rsid w:val="00520C9E"/>
    <w:rsid w:val="00520E29"/>
    <w:rsid w:val="00521A1B"/>
    <w:rsid w:val="00521B0E"/>
    <w:rsid w:val="00521D36"/>
    <w:rsid w:val="0052255A"/>
    <w:rsid w:val="005228C0"/>
    <w:rsid w:val="005229C7"/>
    <w:rsid w:val="00523466"/>
    <w:rsid w:val="00523AF8"/>
    <w:rsid w:val="00523DD2"/>
    <w:rsid w:val="00523E1B"/>
    <w:rsid w:val="00523F10"/>
    <w:rsid w:val="005242AF"/>
    <w:rsid w:val="00524A74"/>
    <w:rsid w:val="00524CB1"/>
    <w:rsid w:val="0052514B"/>
    <w:rsid w:val="0052539D"/>
    <w:rsid w:val="00525833"/>
    <w:rsid w:val="00525E27"/>
    <w:rsid w:val="005265AA"/>
    <w:rsid w:val="005265BE"/>
    <w:rsid w:val="00526A18"/>
    <w:rsid w:val="00526ADF"/>
    <w:rsid w:val="00526C75"/>
    <w:rsid w:val="00526D21"/>
    <w:rsid w:val="00526D25"/>
    <w:rsid w:val="00526D3E"/>
    <w:rsid w:val="00526EC5"/>
    <w:rsid w:val="00526F20"/>
    <w:rsid w:val="005271CF"/>
    <w:rsid w:val="005273B7"/>
    <w:rsid w:val="00527593"/>
    <w:rsid w:val="005279F6"/>
    <w:rsid w:val="00527ADA"/>
    <w:rsid w:val="00527EF8"/>
    <w:rsid w:val="00527F1A"/>
    <w:rsid w:val="00527FC5"/>
    <w:rsid w:val="00530086"/>
    <w:rsid w:val="005304F9"/>
    <w:rsid w:val="00530540"/>
    <w:rsid w:val="00530845"/>
    <w:rsid w:val="005309B2"/>
    <w:rsid w:val="00530A79"/>
    <w:rsid w:val="0053106B"/>
    <w:rsid w:val="00531682"/>
    <w:rsid w:val="00531999"/>
    <w:rsid w:val="00531AB7"/>
    <w:rsid w:val="00531B40"/>
    <w:rsid w:val="00532013"/>
    <w:rsid w:val="005320AD"/>
    <w:rsid w:val="00532607"/>
    <w:rsid w:val="00532633"/>
    <w:rsid w:val="0053270E"/>
    <w:rsid w:val="00532748"/>
    <w:rsid w:val="0053278A"/>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401"/>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23"/>
    <w:rsid w:val="0054594F"/>
    <w:rsid w:val="00545990"/>
    <w:rsid w:val="00545D26"/>
    <w:rsid w:val="00546014"/>
    <w:rsid w:val="005461EE"/>
    <w:rsid w:val="00546355"/>
    <w:rsid w:val="0054665E"/>
    <w:rsid w:val="005467DB"/>
    <w:rsid w:val="00546ADB"/>
    <w:rsid w:val="00546F8B"/>
    <w:rsid w:val="0054779C"/>
    <w:rsid w:val="005478ED"/>
    <w:rsid w:val="005478EE"/>
    <w:rsid w:val="00547983"/>
    <w:rsid w:val="00547AD7"/>
    <w:rsid w:val="00547C94"/>
    <w:rsid w:val="00547CF0"/>
    <w:rsid w:val="005500C8"/>
    <w:rsid w:val="00550147"/>
    <w:rsid w:val="0055022A"/>
    <w:rsid w:val="005502A8"/>
    <w:rsid w:val="00550916"/>
    <w:rsid w:val="00550998"/>
    <w:rsid w:val="00550B76"/>
    <w:rsid w:val="00550DE3"/>
    <w:rsid w:val="00550F9A"/>
    <w:rsid w:val="00551005"/>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D35"/>
    <w:rsid w:val="00554EF3"/>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DC5"/>
    <w:rsid w:val="00571F60"/>
    <w:rsid w:val="005720FA"/>
    <w:rsid w:val="00572222"/>
    <w:rsid w:val="00572365"/>
    <w:rsid w:val="005723DB"/>
    <w:rsid w:val="00572679"/>
    <w:rsid w:val="00572775"/>
    <w:rsid w:val="005727BC"/>
    <w:rsid w:val="00572AF6"/>
    <w:rsid w:val="00573087"/>
    <w:rsid w:val="005731BD"/>
    <w:rsid w:val="005732E1"/>
    <w:rsid w:val="005733CF"/>
    <w:rsid w:val="005739AC"/>
    <w:rsid w:val="005748FB"/>
    <w:rsid w:val="00574D67"/>
    <w:rsid w:val="00575307"/>
    <w:rsid w:val="00575363"/>
    <w:rsid w:val="005755AC"/>
    <w:rsid w:val="00575610"/>
    <w:rsid w:val="005756F0"/>
    <w:rsid w:val="00575922"/>
    <w:rsid w:val="00575AE5"/>
    <w:rsid w:val="00575CDC"/>
    <w:rsid w:val="00575E82"/>
    <w:rsid w:val="00575F09"/>
    <w:rsid w:val="00576697"/>
    <w:rsid w:val="00576A27"/>
    <w:rsid w:val="00576D33"/>
    <w:rsid w:val="00576D43"/>
    <w:rsid w:val="00576D68"/>
    <w:rsid w:val="00576FB2"/>
    <w:rsid w:val="0057781E"/>
    <w:rsid w:val="005779E9"/>
    <w:rsid w:val="00580071"/>
    <w:rsid w:val="00580205"/>
    <w:rsid w:val="00580258"/>
    <w:rsid w:val="005803EC"/>
    <w:rsid w:val="0058042D"/>
    <w:rsid w:val="0058058E"/>
    <w:rsid w:val="00580ABE"/>
    <w:rsid w:val="00580FEE"/>
    <w:rsid w:val="005813F8"/>
    <w:rsid w:val="005814C3"/>
    <w:rsid w:val="00581AFA"/>
    <w:rsid w:val="00581CDC"/>
    <w:rsid w:val="0058208A"/>
    <w:rsid w:val="0058213D"/>
    <w:rsid w:val="005826E1"/>
    <w:rsid w:val="00582809"/>
    <w:rsid w:val="00582835"/>
    <w:rsid w:val="00582A83"/>
    <w:rsid w:val="0058323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75E"/>
    <w:rsid w:val="00587C63"/>
    <w:rsid w:val="00587FAE"/>
    <w:rsid w:val="005908E5"/>
    <w:rsid w:val="0059099D"/>
    <w:rsid w:val="00590BD4"/>
    <w:rsid w:val="00590E48"/>
    <w:rsid w:val="00590ECA"/>
    <w:rsid w:val="0059141E"/>
    <w:rsid w:val="00591524"/>
    <w:rsid w:val="00591D51"/>
    <w:rsid w:val="00591DDC"/>
    <w:rsid w:val="0059214B"/>
    <w:rsid w:val="005921F9"/>
    <w:rsid w:val="005924B2"/>
    <w:rsid w:val="0059264E"/>
    <w:rsid w:val="005927E1"/>
    <w:rsid w:val="00592BD1"/>
    <w:rsid w:val="00593543"/>
    <w:rsid w:val="0059385D"/>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39A"/>
    <w:rsid w:val="005A03E8"/>
    <w:rsid w:val="005A0501"/>
    <w:rsid w:val="005A05A8"/>
    <w:rsid w:val="005A0A53"/>
    <w:rsid w:val="005A0D02"/>
    <w:rsid w:val="005A0E02"/>
    <w:rsid w:val="005A1842"/>
    <w:rsid w:val="005A1A64"/>
    <w:rsid w:val="005A1C91"/>
    <w:rsid w:val="005A232E"/>
    <w:rsid w:val="005A233F"/>
    <w:rsid w:val="005A2990"/>
    <w:rsid w:val="005A2D7B"/>
    <w:rsid w:val="005A2D86"/>
    <w:rsid w:val="005A3160"/>
    <w:rsid w:val="005A31F4"/>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6FF"/>
    <w:rsid w:val="005A5839"/>
    <w:rsid w:val="005A597F"/>
    <w:rsid w:val="005A5997"/>
    <w:rsid w:val="005A5CE4"/>
    <w:rsid w:val="005A693F"/>
    <w:rsid w:val="005A6963"/>
    <w:rsid w:val="005A6AD2"/>
    <w:rsid w:val="005A72FB"/>
    <w:rsid w:val="005A746A"/>
    <w:rsid w:val="005A74B4"/>
    <w:rsid w:val="005A759A"/>
    <w:rsid w:val="005A7F6F"/>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510E"/>
    <w:rsid w:val="005B5170"/>
    <w:rsid w:val="005B54DB"/>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AE8"/>
    <w:rsid w:val="005C0D2E"/>
    <w:rsid w:val="005C0D4D"/>
    <w:rsid w:val="005C1370"/>
    <w:rsid w:val="005C1B32"/>
    <w:rsid w:val="005C25A7"/>
    <w:rsid w:val="005C286F"/>
    <w:rsid w:val="005C2886"/>
    <w:rsid w:val="005C2B7C"/>
    <w:rsid w:val="005C2CF7"/>
    <w:rsid w:val="005C2EF8"/>
    <w:rsid w:val="005C306F"/>
    <w:rsid w:val="005C35A0"/>
    <w:rsid w:val="005C38B5"/>
    <w:rsid w:val="005C3ACD"/>
    <w:rsid w:val="005C3DD3"/>
    <w:rsid w:val="005C429E"/>
    <w:rsid w:val="005C456E"/>
    <w:rsid w:val="005C47F7"/>
    <w:rsid w:val="005C4E5A"/>
    <w:rsid w:val="005C504D"/>
    <w:rsid w:val="005C5A44"/>
    <w:rsid w:val="005C5BE0"/>
    <w:rsid w:val="005C5D37"/>
    <w:rsid w:val="005C5FC6"/>
    <w:rsid w:val="005C6357"/>
    <w:rsid w:val="005C638C"/>
    <w:rsid w:val="005C65DD"/>
    <w:rsid w:val="005C6641"/>
    <w:rsid w:val="005C675D"/>
    <w:rsid w:val="005C69F4"/>
    <w:rsid w:val="005C6C28"/>
    <w:rsid w:val="005C7026"/>
    <w:rsid w:val="005C7F61"/>
    <w:rsid w:val="005D0036"/>
    <w:rsid w:val="005D01F8"/>
    <w:rsid w:val="005D06CD"/>
    <w:rsid w:val="005D080D"/>
    <w:rsid w:val="005D0922"/>
    <w:rsid w:val="005D0BEB"/>
    <w:rsid w:val="005D0ECC"/>
    <w:rsid w:val="005D1339"/>
    <w:rsid w:val="005D181D"/>
    <w:rsid w:val="005D18B2"/>
    <w:rsid w:val="005D1D45"/>
    <w:rsid w:val="005D295E"/>
    <w:rsid w:val="005D2CEC"/>
    <w:rsid w:val="005D2D36"/>
    <w:rsid w:val="005D310B"/>
    <w:rsid w:val="005D318C"/>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C00"/>
    <w:rsid w:val="005E0078"/>
    <w:rsid w:val="005E0107"/>
    <w:rsid w:val="005E090A"/>
    <w:rsid w:val="005E0964"/>
    <w:rsid w:val="005E0B62"/>
    <w:rsid w:val="005E0DB8"/>
    <w:rsid w:val="005E1346"/>
    <w:rsid w:val="005E1769"/>
    <w:rsid w:val="005E1850"/>
    <w:rsid w:val="005E1888"/>
    <w:rsid w:val="005E1B2D"/>
    <w:rsid w:val="005E1B4D"/>
    <w:rsid w:val="005E1E12"/>
    <w:rsid w:val="005E2122"/>
    <w:rsid w:val="005E29E6"/>
    <w:rsid w:val="005E2B19"/>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90"/>
    <w:rsid w:val="006070B9"/>
    <w:rsid w:val="00607658"/>
    <w:rsid w:val="006077B1"/>
    <w:rsid w:val="006077F9"/>
    <w:rsid w:val="00607859"/>
    <w:rsid w:val="00607863"/>
    <w:rsid w:val="00607A7B"/>
    <w:rsid w:val="00607B90"/>
    <w:rsid w:val="00607D63"/>
    <w:rsid w:val="00607FE2"/>
    <w:rsid w:val="00610050"/>
    <w:rsid w:val="00610150"/>
    <w:rsid w:val="0061037C"/>
    <w:rsid w:val="00610653"/>
    <w:rsid w:val="006108AB"/>
    <w:rsid w:val="00610AB5"/>
    <w:rsid w:val="00611758"/>
    <w:rsid w:val="006119CE"/>
    <w:rsid w:val="00611EA3"/>
    <w:rsid w:val="00611F57"/>
    <w:rsid w:val="00612016"/>
    <w:rsid w:val="00612484"/>
    <w:rsid w:val="006125AB"/>
    <w:rsid w:val="006129BB"/>
    <w:rsid w:val="00612AAF"/>
    <w:rsid w:val="00612E32"/>
    <w:rsid w:val="00612FC7"/>
    <w:rsid w:val="00612FE8"/>
    <w:rsid w:val="006134E5"/>
    <w:rsid w:val="00613543"/>
    <w:rsid w:val="00613892"/>
    <w:rsid w:val="00613988"/>
    <w:rsid w:val="00613BC3"/>
    <w:rsid w:val="00614497"/>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716F"/>
    <w:rsid w:val="00617579"/>
    <w:rsid w:val="006179E2"/>
    <w:rsid w:val="00617A84"/>
    <w:rsid w:val="00617D21"/>
    <w:rsid w:val="00617DC0"/>
    <w:rsid w:val="00617E3E"/>
    <w:rsid w:val="006201EF"/>
    <w:rsid w:val="006201FE"/>
    <w:rsid w:val="00620238"/>
    <w:rsid w:val="00620611"/>
    <w:rsid w:val="00620B57"/>
    <w:rsid w:val="00620F51"/>
    <w:rsid w:val="00621177"/>
    <w:rsid w:val="006215B4"/>
    <w:rsid w:val="0062181F"/>
    <w:rsid w:val="00621BA7"/>
    <w:rsid w:val="00621BCE"/>
    <w:rsid w:val="00621C61"/>
    <w:rsid w:val="00621F8A"/>
    <w:rsid w:val="006221B2"/>
    <w:rsid w:val="006223D9"/>
    <w:rsid w:val="00622599"/>
    <w:rsid w:val="0062259F"/>
    <w:rsid w:val="006225A3"/>
    <w:rsid w:val="0062288D"/>
    <w:rsid w:val="00622E2E"/>
    <w:rsid w:val="006231F0"/>
    <w:rsid w:val="00623375"/>
    <w:rsid w:val="0062344F"/>
    <w:rsid w:val="0062377F"/>
    <w:rsid w:val="00623896"/>
    <w:rsid w:val="00623AF8"/>
    <w:rsid w:val="00623F03"/>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1A0"/>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913"/>
    <w:rsid w:val="00634D4C"/>
    <w:rsid w:val="006350C3"/>
    <w:rsid w:val="006359FC"/>
    <w:rsid w:val="00635A6B"/>
    <w:rsid w:val="00635D9E"/>
    <w:rsid w:val="00635EFB"/>
    <w:rsid w:val="00636345"/>
    <w:rsid w:val="00636349"/>
    <w:rsid w:val="00636AF5"/>
    <w:rsid w:val="00636CB8"/>
    <w:rsid w:val="00636EFE"/>
    <w:rsid w:val="006375AC"/>
    <w:rsid w:val="00637747"/>
    <w:rsid w:val="00637BD0"/>
    <w:rsid w:val="00637C54"/>
    <w:rsid w:val="006401B6"/>
    <w:rsid w:val="00640543"/>
    <w:rsid w:val="006405D5"/>
    <w:rsid w:val="00641064"/>
    <w:rsid w:val="0064145F"/>
    <w:rsid w:val="006416F4"/>
    <w:rsid w:val="00641D60"/>
    <w:rsid w:val="00641E93"/>
    <w:rsid w:val="00641EA9"/>
    <w:rsid w:val="00641ED1"/>
    <w:rsid w:val="0064257E"/>
    <w:rsid w:val="00642760"/>
    <w:rsid w:val="0064276F"/>
    <w:rsid w:val="00642E2E"/>
    <w:rsid w:val="00642E6E"/>
    <w:rsid w:val="006431E8"/>
    <w:rsid w:val="00643634"/>
    <w:rsid w:val="0064403A"/>
    <w:rsid w:val="0064408E"/>
    <w:rsid w:val="006443BD"/>
    <w:rsid w:val="00644EC7"/>
    <w:rsid w:val="006450B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D19"/>
    <w:rsid w:val="00647DD2"/>
    <w:rsid w:val="00647F41"/>
    <w:rsid w:val="00650319"/>
    <w:rsid w:val="0065053D"/>
    <w:rsid w:val="006509B6"/>
    <w:rsid w:val="00650A76"/>
    <w:rsid w:val="00650A8D"/>
    <w:rsid w:val="00650D5D"/>
    <w:rsid w:val="00650F2D"/>
    <w:rsid w:val="00650FCE"/>
    <w:rsid w:val="00650FE7"/>
    <w:rsid w:val="006515CB"/>
    <w:rsid w:val="00651602"/>
    <w:rsid w:val="00651AA0"/>
    <w:rsid w:val="00651AA4"/>
    <w:rsid w:val="006520DE"/>
    <w:rsid w:val="00652135"/>
    <w:rsid w:val="006521C7"/>
    <w:rsid w:val="006522FC"/>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71"/>
    <w:rsid w:val="00662F0A"/>
    <w:rsid w:val="006631B4"/>
    <w:rsid w:val="00663309"/>
    <w:rsid w:val="0066340C"/>
    <w:rsid w:val="00663852"/>
    <w:rsid w:val="00663958"/>
    <w:rsid w:val="00664045"/>
    <w:rsid w:val="00664173"/>
    <w:rsid w:val="006648C6"/>
    <w:rsid w:val="00665C0E"/>
    <w:rsid w:val="00665EDD"/>
    <w:rsid w:val="00665FD1"/>
    <w:rsid w:val="00666197"/>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28"/>
    <w:rsid w:val="0067204B"/>
    <w:rsid w:val="00672457"/>
    <w:rsid w:val="006726C8"/>
    <w:rsid w:val="00672706"/>
    <w:rsid w:val="00672778"/>
    <w:rsid w:val="00672AFE"/>
    <w:rsid w:val="00672C24"/>
    <w:rsid w:val="00672C47"/>
    <w:rsid w:val="00672D10"/>
    <w:rsid w:val="00672D75"/>
    <w:rsid w:val="0067327C"/>
    <w:rsid w:val="0067327E"/>
    <w:rsid w:val="0067347C"/>
    <w:rsid w:val="006734A3"/>
    <w:rsid w:val="006735F4"/>
    <w:rsid w:val="006737EE"/>
    <w:rsid w:val="006738A4"/>
    <w:rsid w:val="00673B77"/>
    <w:rsid w:val="00673FAA"/>
    <w:rsid w:val="0067409A"/>
    <w:rsid w:val="00674607"/>
    <w:rsid w:val="00674700"/>
    <w:rsid w:val="00674760"/>
    <w:rsid w:val="006749AA"/>
    <w:rsid w:val="00674D4D"/>
    <w:rsid w:val="00674F7A"/>
    <w:rsid w:val="00675018"/>
    <w:rsid w:val="0067510C"/>
    <w:rsid w:val="0067555B"/>
    <w:rsid w:val="00675D23"/>
    <w:rsid w:val="00675F54"/>
    <w:rsid w:val="00676102"/>
    <w:rsid w:val="00676382"/>
    <w:rsid w:val="006769BC"/>
    <w:rsid w:val="00676B7D"/>
    <w:rsid w:val="00676C66"/>
    <w:rsid w:val="00676C78"/>
    <w:rsid w:val="00676D63"/>
    <w:rsid w:val="00676EA5"/>
    <w:rsid w:val="00676F50"/>
    <w:rsid w:val="006772ED"/>
    <w:rsid w:val="00677A87"/>
    <w:rsid w:val="00677D77"/>
    <w:rsid w:val="00677E01"/>
    <w:rsid w:val="00677FC7"/>
    <w:rsid w:val="00680167"/>
    <w:rsid w:val="00680273"/>
    <w:rsid w:val="006806EE"/>
    <w:rsid w:val="00680836"/>
    <w:rsid w:val="00680A32"/>
    <w:rsid w:val="00680F0E"/>
    <w:rsid w:val="00680F3D"/>
    <w:rsid w:val="0068134C"/>
    <w:rsid w:val="006816AA"/>
    <w:rsid w:val="006818D9"/>
    <w:rsid w:val="00681A7F"/>
    <w:rsid w:val="00682014"/>
    <w:rsid w:val="00682166"/>
    <w:rsid w:val="00682257"/>
    <w:rsid w:val="0068225D"/>
    <w:rsid w:val="006826AD"/>
    <w:rsid w:val="006828E4"/>
    <w:rsid w:val="00682B4D"/>
    <w:rsid w:val="00682C42"/>
    <w:rsid w:val="00682DFD"/>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626"/>
    <w:rsid w:val="0068673F"/>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AAF"/>
    <w:rsid w:val="00692E6B"/>
    <w:rsid w:val="00692F11"/>
    <w:rsid w:val="00693304"/>
    <w:rsid w:val="00693AA1"/>
    <w:rsid w:val="00693C6D"/>
    <w:rsid w:val="00693C7B"/>
    <w:rsid w:val="006945A7"/>
    <w:rsid w:val="006947F0"/>
    <w:rsid w:val="00694A0D"/>
    <w:rsid w:val="00694B98"/>
    <w:rsid w:val="00694DD0"/>
    <w:rsid w:val="0069529C"/>
    <w:rsid w:val="006954C8"/>
    <w:rsid w:val="0069576C"/>
    <w:rsid w:val="00695B06"/>
    <w:rsid w:val="00695B80"/>
    <w:rsid w:val="00695B9C"/>
    <w:rsid w:val="00695C88"/>
    <w:rsid w:val="00695CCB"/>
    <w:rsid w:val="00695F05"/>
    <w:rsid w:val="0069605A"/>
    <w:rsid w:val="006963AB"/>
    <w:rsid w:val="006965E4"/>
    <w:rsid w:val="00696858"/>
    <w:rsid w:val="00696F77"/>
    <w:rsid w:val="006970A5"/>
    <w:rsid w:val="0069714E"/>
    <w:rsid w:val="006973A9"/>
    <w:rsid w:val="006973DD"/>
    <w:rsid w:val="006976BF"/>
    <w:rsid w:val="006979BB"/>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3CD2"/>
    <w:rsid w:val="006A4083"/>
    <w:rsid w:val="006A41D7"/>
    <w:rsid w:val="006A425B"/>
    <w:rsid w:val="006A44C9"/>
    <w:rsid w:val="006A46E0"/>
    <w:rsid w:val="006A4D56"/>
    <w:rsid w:val="006A4F71"/>
    <w:rsid w:val="006A4FA6"/>
    <w:rsid w:val="006A513B"/>
    <w:rsid w:val="006A5160"/>
    <w:rsid w:val="006A5951"/>
    <w:rsid w:val="006A5BFF"/>
    <w:rsid w:val="006A5EA2"/>
    <w:rsid w:val="006A676A"/>
    <w:rsid w:val="006A6FC3"/>
    <w:rsid w:val="006A7449"/>
    <w:rsid w:val="006A75E3"/>
    <w:rsid w:val="006A761B"/>
    <w:rsid w:val="006A79F6"/>
    <w:rsid w:val="006A7C36"/>
    <w:rsid w:val="006B036C"/>
    <w:rsid w:val="006B04FD"/>
    <w:rsid w:val="006B09C0"/>
    <w:rsid w:val="006B0A44"/>
    <w:rsid w:val="006B0A6D"/>
    <w:rsid w:val="006B0C12"/>
    <w:rsid w:val="006B0C53"/>
    <w:rsid w:val="006B0D33"/>
    <w:rsid w:val="006B1552"/>
    <w:rsid w:val="006B1588"/>
    <w:rsid w:val="006B17C0"/>
    <w:rsid w:val="006B1B56"/>
    <w:rsid w:val="006B1F08"/>
    <w:rsid w:val="006B2203"/>
    <w:rsid w:val="006B26B9"/>
    <w:rsid w:val="006B26C3"/>
    <w:rsid w:val="006B2BDA"/>
    <w:rsid w:val="006B2C91"/>
    <w:rsid w:val="006B2EEA"/>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29F"/>
    <w:rsid w:val="006C14A7"/>
    <w:rsid w:val="006C1CEE"/>
    <w:rsid w:val="006C1FE1"/>
    <w:rsid w:val="006C2260"/>
    <w:rsid w:val="006C2585"/>
    <w:rsid w:val="006C2962"/>
    <w:rsid w:val="006C2A1C"/>
    <w:rsid w:val="006C2DA3"/>
    <w:rsid w:val="006C2F43"/>
    <w:rsid w:val="006C316C"/>
    <w:rsid w:val="006C352F"/>
    <w:rsid w:val="006C35FA"/>
    <w:rsid w:val="006C3641"/>
    <w:rsid w:val="006C3B05"/>
    <w:rsid w:val="006C3B08"/>
    <w:rsid w:val="006C3E29"/>
    <w:rsid w:val="006C3ED0"/>
    <w:rsid w:val="006C443B"/>
    <w:rsid w:val="006C45B1"/>
    <w:rsid w:val="006C4766"/>
    <w:rsid w:val="006C5088"/>
    <w:rsid w:val="006C531F"/>
    <w:rsid w:val="006C53B7"/>
    <w:rsid w:val="006C5808"/>
    <w:rsid w:val="006C583E"/>
    <w:rsid w:val="006C607A"/>
    <w:rsid w:val="006C65C5"/>
    <w:rsid w:val="006C685F"/>
    <w:rsid w:val="006C6B4F"/>
    <w:rsid w:val="006C6DFD"/>
    <w:rsid w:val="006C71A9"/>
    <w:rsid w:val="006C71BD"/>
    <w:rsid w:val="006C72F8"/>
    <w:rsid w:val="006C7520"/>
    <w:rsid w:val="006C77E4"/>
    <w:rsid w:val="006C7A84"/>
    <w:rsid w:val="006C7F35"/>
    <w:rsid w:val="006C7F49"/>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5431"/>
    <w:rsid w:val="006D5702"/>
    <w:rsid w:val="006D5F61"/>
    <w:rsid w:val="006D6463"/>
    <w:rsid w:val="006D651C"/>
    <w:rsid w:val="006D6525"/>
    <w:rsid w:val="006D6632"/>
    <w:rsid w:val="006D6AD3"/>
    <w:rsid w:val="006D7567"/>
    <w:rsid w:val="006D768D"/>
    <w:rsid w:val="006D77BC"/>
    <w:rsid w:val="006D790F"/>
    <w:rsid w:val="006D7BB2"/>
    <w:rsid w:val="006D7F44"/>
    <w:rsid w:val="006E015F"/>
    <w:rsid w:val="006E02CA"/>
    <w:rsid w:val="006E03D0"/>
    <w:rsid w:val="006E0444"/>
    <w:rsid w:val="006E07D1"/>
    <w:rsid w:val="006E0851"/>
    <w:rsid w:val="006E09C6"/>
    <w:rsid w:val="006E0AE8"/>
    <w:rsid w:val="006E0E45"/>
    <w:rsid w:val="006E156A"/>
    <w:rsid w:val="006E17AC"/>
    <w:rsid w:val="006E17C8"/>
    <w:rsid w:val="006E1A7E"/>
    <w:rsid w:val="006E1A97"/>
    <w:rsid w:val="006E1B2F"/>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2D6"/>
    <w:rsid w:val="006E64BB"/>
    <w:rsid w:val="006E6A5C"/>
    <w:rsid w:val="006E6ADA"/>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DE4"/>
    <w:rsid w:val="006F509C"/>
    <w:rsid w:val="006F53AC"/>
    <w:rsid w:val="006F53F8"/>
    <w:rsid w:val="006F5B52"/>
    <w:rsid w:val="006F5CB1"/>
    <w:rsid w:val="006F6323"/>
    <w:rsid w:val="006F636F"/>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D1"/>
    <w:rsid w:val="007030D1"/>
    <w:rsid w:val="00703891"/>
    <w:rsid w:val="00703C5E"/>
    <w:rsid w:val="00703E8B"/>
    <w:rsid w:val="0070455C"/>
    <w:rsid w:val="0070473C"/>
    <w:rsid w:val="00704F80"/>
    <w:rsid w:val="00705385"/>
    <w:rsid w:val="007057E9"/>
    <w:rsid w:val="00705958"/>
    <w:rsid w:val="00705C55"/>
    <w:rsid w:val="00705FDE"/>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149C"/>
    <w:rsid w:val="0072171F"/>
    <w:rsid w:val="0072182E"/>
    <w:rsid w:val="00722493"/>
    <w:rsid w:val="0072257B"/>
    <w:rsid w:val="00722E44"/>
    <w:rsid w:val="00722F63"/>
    <w:rsid w:val="007233EF"/>
    <w:rsid w:val="007234F0"/>
    <w:rsid w:val="007236BD"/>
    <w:rsid w:val="00723719"/>
    <w:rsid w:val="007237B4"/>
    <w:rsid w:val="00724144"/>
    <w:rsid w:val="00724362"/>
    <w:rsid w:val="0072465A"/>
    <w:rsid w:val="007248ED"/>
    <w:rsid w:val="00724CDF"/>
    <w:rsid w:val="00724CF6"/>
    <w:rsid w:val="00725032"/>
    <w:rsid w:val="007251DD"/>
    <w:rsid w:val="0072594A"/>
    <w:rsid w:val="00725D6A"/>
    <w:rsid w:val="00726090"/>
    <w:rsid w:val="00726140"/>
    <w:rsid w:val="007263F0"/>
    <w:rsid w:val="0072649C"/>
    <w:rsid w:val="00726A0F"/>
    <w:rsid w:val="00726D3A"/>
    <w:rsid w:val="00726E20"/>
    <w:rsid w:val="00726FEB"/>
    <w:rsid w:val="0072777C"/>
    <w:rsid w:val="00727AE0"/>
    <w:rsid w:val="00727B3E"/>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D48"/>
    <w:rsid w:val="00734E9B"/>
    <w:rsid w:val="00734EC1"/>
    <w:rsid w:val="007353A9"/>
    <w:rsid w:val="00735535"/>
    <w:rsid w:val="0073589B"/>
    <w:rsid w:val="00735992"/>
    <w:rsid w:val="00735D67"/>
    <w:rsid w:val="00735E40"/>
    <w:rsid w:val="00736346"/>
    <w:rsid w:val="007365F3"/>
    <w:rsid w:val="0073677B"/>
    <w:rsid w:val="0073685F"/>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A79"/>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DD2"/>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58"/>
    <w:rsid w:val="00751A8A"/>
    <w:rsid w:val="00751C06"/>
    <w:rsid w:val="00751F43"/>
    <w:rsid w:val="00752247"/>
    <w:rsid w:val="007522A6"/>
    <w:rsid w:val="007522BA"/>
    <w:rsid w:val="0075260F"/>
    <w:rsid w:val="00752621"/>
    <w:rsid w:val="0075273C"/>
    <w:rsid w:val="00753366"/>
    <w:rsid w:val="00753490"/>
    <w:rsid w:val="007537A2"/>
    <w:rsid w:val="0075385E"/>
    <w:rsid w:val="00753988"/>
    <w:rsid w:val="00753A38"/>
    <w:rsid w:val="00754086"/>
    <w:rsid w:val="00754128"/>
    <w:rsid w:val="007542CF"/>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30F"/>
    <w:rsid w:val="007573C9"/>
    <w:rsid w:val="007574CE"/>
    <w:rsid w:val="007574D5"/>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1D11"/>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DF"/>
    <w:rsid w:val="00780C91"/>
    <w:rsid w:val="00780CF8"/>
    <w:rsid w:val="00781654"/>
    <w:rsid w:val="00781F8F"/>
    <w:rsid w:val="00782574"/>
    <w:rsid w:val="00782623"/>
    <w:rsid w:val="0078282F"/>
    <w:rsid w:val="0078291B"/>
    <w:rsid w:val="00782A27"/>
    <w:rsid w:val="00782D4F"/>
    <w:rsid w:val="00782DD6"/>
    <w:rsid w:val="0078359C"/>
    <w:rsid w:val="00783A4B"/>
    <w:rsid w:val="00783B75"/>
    <w:rsid w:val="00783D91"/>
    <w:rsid w:val="00783DB8"/>
    <w:rsid w:val="00783FE7"/>
    <w:rsid w:val="00784616"/>
    <w:rsid w:val="00784723"/>
    <w:rsid w:val="007847EA"/>
    <w:rsid w:val="00784C5E"/>
    <w:rsid w:val="00784D5D"/>
    <w:rsid w:val="0078517F"/>
    <w:rsid w:val="007853B4"/>
    <w:rsid w:val="007858B5"/>
    <w:rsid w:val="00785A03"/>
    <w:rsid w:val="00785A18"/>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A71"/>
    <w:rsid w:val="00794FB8"/>
    <w:rsid w:val="007952A5"/>
    <w:rsid w:val="007953A0"/>
    <w:rsid w:val="007954FA"/>
    <w:rsid w:val="0079595A"/>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68F"/>
    <w:rsid w:val="007A48F7"/>
    <w:rsid w:val="007A4ABF"/>
    <w:rsid w:val="007A4E8D"/>
    <w:rsid w:val="007A5AF9"/>
    <w:rsid w:val="007A5CF0"/>
    <w:rsid w:val="007A5DF3"/>
    <w:rsid w:val="007A5F0E"/>
    <w:rsid w:val="007A62F5"/>
    <w:rsid w:val="007A6679"/>
    <w:rsid w:val="007A681E"/>
    <w:rsid w:val="007A6AC3"/>
    <w:rsid w:val="007A6B05"/>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DA4"/>
    <w:rsid w:val="007B23D1"/>
    <w:rsid w:val="007B24C2"/>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79"/>
    <w:rsid w:val="007B6287"/>
    <w:rsid w:val="007B64C0"/>
    <w:rsid w:val="007B65F8"/>
    <w:rsid w:val="007B677F"/>
    <w:rsid w:val="007B6866"/>
    <w:rsid w:val="007B68D4"/>
    <w:rsid w:val="007B68FD"/>
    <w:rsid w:val="007B6971"/>
    <w:rsid w:val="007B6BDE"/>
    <w:rsid w:val="007B6BE0"/>
    <w:rsid w:val="007B6DBA"/>
    <w:rsid w:val="007B77F2"/>
    <w:rsid w:val="007B7C4F"/>
    <w:rsid w:val="007B7F65"/>
    <w:rsid w:val="007C066E"/>
    <w:rsid w:val="007C0844"/>
    <w:rsid w:val="007C0C49"/>
    <w:rsid w:val="007C0DF7"/>
    <w:rsid w:val="007C12F0"/>
    <w:rsid w:val="007C15B9"/>
    <w:rsid w:val="007C16D7"/>
    <w:rsid w:val="007C1CA9"/>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CF"/>
    <w:rsid w:val="007C52D0"/>
    <w:rsid w:val="007C534B"/>
    <w:rsid w:val="007C53CE"/>
    <w:rsid w:val="007C5740"/>
    <w:rsid w:val="007C598B"/>
    <w:rsid w:val="007C60B3"/>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2D1"/>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114"/>
    <w:rsid w:val="007D42A6"/>
    <w:rsid w:val="007D43B4"/>
    <w:rsid w:val="007D4514"/>
    <w:rsid w:val="007D459B"/>
    <w:rsid w:val="007D4755"/>
    <w:rsid w:val="007D479C"/>
    <w:rsid w:val="007D49CA"/>
    <w:rsid w:val="007D4B54"/>
    <w:rsid w:val="007D4C5E"/>
    <w:rsid w:val="007D4D47"/>
    <w:rsid w:val="007D4FE1"/>
    <w:rsid w:val="007D5463"/>
    <w:rsid w:val="007D5594"/>
    <w:rsid w:val="007D55C5"/>
    <w:rsid w:val="007D566A"/>
    <w:rsid w:val="007D588E"/>
    <w:rsid w:val="007D5EC1"/>
    <w:rsid w:val="007D632A"/>
    <w:rsid w:val="007D636B"/>
    <w:rsid w:val="007D68F7"/>
    <w:rsid w:val="007D6A31"/>
    <w:rsid w:val="007D6A33"/>
    <w:rsid w:val="007D6B45"/>
    <w:rsid w:val="007D6E97"/>
    <w:rsid w:val="007D7452"/>
    <w:rsid w:val="007D7615"/>
    <w:rsid w:val="007D7778"/>
    <w:rsid w:val="007D77A6"/>
    <w:rsid w:val="007D7B7C"/>
    <w:rsid w:val="007E0045"/>
    <w:rsid w:val="007E02D5"/>
    <w:rsid w:val="007E0F88"/>
    <w:rsid w:val="007E119E"/>
    <w:rsid w:val="007E123C"/>
    <w:rsid w:val="007E150C"/>
    <w:rsid w:val="007E1C32"/>
    <w:rsid w:val="007E23F8"/>
    <w:rsid w:val="007E240B"/>
    <w:rsid w:val="007E24C9"/>
    <w:rsid w:val="007E2772"/>
    <w:rsid w:val="007E2C20"/>
    <w:rsid w:val="007E3AF4"/>
    <w:rsid w:val="007E4555"/>
    <w:rsid w:val="007E483B"/>
    <w:rsid w:val="007E48BE"/>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B93"/>
    <w:rsid w:val="007F6CEB"/>
    <w:rsid w:val="007F6D58"/>
    <w:rsid w:val="007F6E18"/>
    <w:rsid w:val="007F718C"/>
    <w:rsid w:val="007F73F1"/>
    <w:rsid w:val="007F7512"/>
    <w:rsid w:val="007F75B2"/>
    <w:rsid w:val="007F75C9"/>
    <w:rsid w:val="007F75E6"/>
    <w:rsid w:val="007F7A4A"/>
    <w:rsid w:val="007F7C17"/>
    <w:rsid w:val="007F7CB4"/>
    <w:rsid w:val="007F7D8F"/>
    <w:rsid w:val="007F7D9E"/>
    <w:rsid w:val="007F7DA2"/>
    <w:rsid w:val="007F7DED"/>
    <w:rsid w:val="00800796"/>
    <w:rsid w:val="008007C7"/>
    <w:rsid w:val="00800921"/>
    <w:rsid w:val="00800959"/>
    <w:rsid w:val="00800B31"/>
    <w:rsid w:val="00800C5F"/>
    <w:rsid w:val="00800E9F"/>
    <w:rsid w:val="008010A7"/>
    <w:rsid w:val="008011B8"/>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793"/>
    <w:rsid w:val="0081384A"/>
    <w:rsid w:val="008138F8"/>
    <w:rsid w:val="00813D86"/>
    <w:rsid w:val="00813EBD"/>
    <w:rsid w:val="008143FD"/>
    <w:rsid w:val="00814955"/>
    <w:rsid w:val="00814CC0"/>
    <w:rsid w:val="00814F24"/>
    <w:rsid w:val="00814F70"/>
    <w:rsid w:val="008153C6"/>
    <w:rsid w:val="008154E3"/>
    <w:rsid w:val="0081554E"/>
    <w:rsid w:val="00815734"/>
    <w:rsid w:val="00815E46"/>
    <w:rsid w:val="008161D7"/>
    <w:rsid w:val="008163B6"/>
    <w:rsid w:val="00816560"/>
    <w:rsid w:val="00816569"/>
    <w:rsid w:val="0081664E"/>
    <w:rsid w:val="00816793"/>
    <w:rsid w:val="00817130"/>
    <w:rsid w:val="0081739E"/>
    <w:rsid w:val="00817658"/>
    <w:rsid w:val="0081778A"/>
    <w:rsid w:val="00817911"/>
    <w:rsid w:val="00817AC3"/>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8BA"/>
    <w:rsid w:val="00825FE6"/>
    <w:rsid w:val="0082607F"/>
    <w:rsid w:val="00826474"/>
    <w:rsid w:val="00826987"/>
    <w:rsid w:val="00826C6F"/>
    <w:rsid w:val="00827014"/>
    <w:rsid w:val="0082710C"/>
    <w:rsid w:val="00827115"/>
    <w:rsid w:val="008273F5"/>
    <w:rsid w:val="008273F7"/>
    <w:rsid w:val="00827715"/>
    <w:rsid w:val="008278B8"/>
    <w:rsid w:val="00827C1D"/>
    <w:rsid w:val="00827C61"/>
    <w:rsid w:val="00827D4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46E"/>
    <w:rsid w:val="008328F0"/>
    <w:rsid w:val="0083298D"/>
    <w:rsid w:val="00832BB1"/>
    <w:rsid w:val="00833161"/>
    <w:rsid w:val="0083316D"/>
    <w:rsid w:val="008334FA"/>
    <w:rsid w:val="00833821"/>
    <w:rsid w:val="00833AB9"/>
    <w:rsid w:val="00833B35"/>
    <w:rsid w:val="0083400C"/>
    <w:rsid w:val="0083455C"/>
    <w:rsid w:val="00835393"/>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1CC"/>
    <w:rsid w:val="00840717"/>
    <w:rsid w:val="00840845"/>
    <w:rsid w:val="0084099E"/>
    <w:rsid w:val="00840B60"/>
    <w:rsid w:val="00840E61"/>
    <w:rsid w:val="008410E8"/>
    <w:rsid w:val="008411F2"/>
    <w:rsid w:val="008414FC"/>
    <w:rsid w:val="00841639"/>
    <w:rsid w:val="00841644"/>
    <w:rsid w:val="00841842"/>
    <w:rsid w:val="00841A76"/>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3AA"/>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0D5"/>
    <w:rsid w:val="00857450"/>
    <w:rsid w:val="008574B5"/>
    <w:rsid w:val="0085763F"/>
    <w:rsid w:val="00857966"/>
    <w:rsid w:val="00857A40"/>
    <w:rsid w:val="00857D02"/>
    <w:rsid w:val="00860073"/>
    <w:rsid w:val="00860368"/>
    <w:rsid w:val="00860707"/>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69"/>
    <w:rsid w:val="00864643"/>
    <w:rsid w:val="008648AA"/>
    <w:rsid w:val="008648E1"/>
    <w:rsid w:val="00864A7D"/>
    <w:rsid w:val="00864BB0"/>
    <w:rsid w:val="00864CB7"/>
    <w:rsid w:val="00864CF3"/>
    <w:rsid w:val="00864E83"/>
    <w:rsid w:val="00864F66"/>
    <w:rsid w:val="00864F98"/>
    <w:rsid w:val="008650AF"/>
    <w:rsid w:val="008655D3"/>
    <w:rsid w:val="0086595D"/>
    <w:rsid w:val="008667AB"/>
    <w:rsid w:val="008667DD"/>
    <w:rsid w:val="008669B0"/>
    <w:rsid w:val="00866A14"/>
    <w:rsid w:val="00866EA5"/>
    <w:rsid w:val="00867C69"/>
    <w:rsid w:val="00870358"/>
    <w:rsid w:val="00870A9D"/>
    <w:rsid w:val="00870DF8"/>
    <w:rsid w:val="00871139"/>
    <w:rsid w:val="008712BE"/>
    <w:rsid w:val="0087138F"/>
    <w:rsid w:val="00871633"/>
    <w:rsid w:val="00871675"/>
    <w:rsid w:val="00871A41"/>
    <w:rsid w:val="00871BF9"/>
    <w:rsid w:val="00871CA4"/>
    <w:rsid w:val="00871D1D"/>
    <w:rsid w:val="008721D6"/>
    <w:rsid w:val="0087239E"/>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EB4"/>
    <w:rsid w:val="00875062"/>
    <w:rsid w:val="0087519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0ABA"/>
    <w:rsid w:val="00881049"/>
    <w:rsid w:val="008811F4"/>
    <w:rsid w:val="008817D3"/>
    <w:rsid w:val="0088194D"/>
    <w:rsid w:val="00881FF2"/>
    <w:rsid w:val="00882050"/>
    <w:rsid w:val="008823EE"/>
    <w:rsid w:val="008823F6"/>
    <w:rsid w:val="0088243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5F72"/>
    <w:rsid w:val="0088617A"/>
    <w:rsid w:val="00886345"/>
    <w:rsid w:val="008864B9"/>
    <w:rsid w:val="008866E3"/>
    <w:rsid w:val="00886A7B"/>
    <w:rsid w:val="00886C0C"/>
    <w:rsid w:val="00886CFC"/>
    <w:rsid w:val="00886F21"/>
    <w:rsid w:val="00887576"/>
    <w:rsid w:val="00887846"/>
    <w:rsid w:val="008878DE"/>
    <w:rsid w:val="0088794C"/>
    <w:rsid w:val="00887F09"/>
    <w:rsid w:val="00887FFE"/>
    <w:rsid w:val="0089041F"/>
    <w:rsid w:val="00890803"/>
    <w:rsid w:val="00890B8E"/>
    <w:rsid w:val="00890CE4"/>
    <w:rsid w:val="00890D61"/>
    <w:rsid w:val="00890EFE"/>
    <w:rsid w:val="00891018"/>
    <w:rsid w:val="0089135C"/>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AF7"/>
    <w:rsid w:val="00895C6F"/>
    <w:rsid w:val="00895EDC"/>
    <w:rsid w:val="0089642B"/>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6B2"/>
    <w:rsid w:val="008A0824"/>
    <w:rsid w:val="008A0B8F"/>
    <w:rsid w:val="008A0DB0"/>
    <w:rsid w:val="008A10BA"/>
    <w:rsid w:val="008A1415"/>
    <w:rsid w:val="008A1427"/>
    <w:rsid w:val="008A18EE"/>
    <w:rsid w:val="008A1D3A"/>
    <w:rsid w:val="008A1E8B"/>
    <w:rsid w:val="008A233C"/>
    <w:rsid w:val="008A26D4"/>
    <w:rsid w:val="008A275A"/>
    <w:rsid w:val="008A295F"/>
    <w:rsid w:val="008A2B53"/>
    <w:rsid w:val="008A2CE6"/>
    <w:rsid w:val="008A2D45"/>
    <w:rsid w:val="008A2EB0"/>
    <w:rsid w:val="008A2EF1"/>
    <w:rsid w:val="008A33A5"/>
    <w:rsid w:val="008A3514"/>
    <w:rsid w:val="008A3898"/>
    <w:rsid w:val="008A3991"/>
    <w:rsid w:val="008A39B4"/>
    <w:rsid w:val="008A3AB0"/>
    <w:rsid w:val="008A3AD6"/>
    <w:rsid w:val="008A3AFD"/>
    <w:rsid w:val="008A3EF1"/>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6F4F"/>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6D6"/>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C78"/>
    <w:rsid w:val="008B4EA1"/>
    <w:rsid w:val="008B4F62"/>
    <w:rsid w:val="008B52AC"/>
    <w:rsid w:val="008B52F3"/>
    <w:rsid w:val="008B5619"/>
    <w:rsid w:val="008B56AB"/>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D01D3"/>
    <w:rsid w:val="008D02B4"/>
    <w:rsid w:val="008D02F0"/>
    <w:rsid w:val="008D0564"/>
    <w:rsid w:val="008D05CD"/>
    <w:rsid w:val="008D0E6D"/>
    <w:rsid w:val="008D0ED2"/>
    <w:rsid w:val="008D1512"/>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9A"/>
    <w:rsid w:val="008D4902"/>
    <w:rsid w:val="008D4979"/>
    <w:rsid w:val="008D4C59"/>
    <w:rsid w:val="008D4E09"/>
    <w:rsid w:val="008D4E5B"/>
    <w:rsid w:val="008D51A3"/>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8C"/>
    <w:rsid w:val="008E3B9F"/>
    <w:rsid w:val="008E406C"/>
    <w:rsid w:val="008E41D0"/>
    <w:rsid w:val="008E4454"/>
    <w:rsid w:val="008E47E0"/>
    <w:rsid w:val="008E480D"/>
    <w:rsid w:val="008E49E5"/>
    <w:rsid w:val="008E4AD4"/>
    <w:rsid w:val="008E4CE3"/>
    <w:rsid w:val="008E4F24"/>
    <w:rsid w:val="008E55D4"/>
    <w:rsid w:val="008E55D5"/>
    <w:rsid w:val="008E5796"/>
    <w:rsid w:val="008E59AC"/>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0D29"/>
    <w:rsid w:val="008F120F"/>
    <w:rsid w:val="008F1284"/>
    <w:rsid w:val="008F14E5"/>
    <w:rsid w:val="008F15AC"/>
    <w:rsid w:val="008F18E6"/>
    <w:rsid w:val="008F1B35"/>
    <w:rsid w:val="008F1D2E"/>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D65"/>
    <w:rsid w:val="008F6045"/>
    <w:rsid w:val="008F60EC"/>
    <w:rsid w:val="008F618B"/>
    <w:rsid w:val="008F62E9"/>
    <w:rsid w:val="008F6400"/>
    <w:rsid w:val="008F640B"/>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20DD"/>
    <w:rsid w:val="0090269D"/>
    <w:rsid w:val="009028AE"/>
    <w:rsid w:val="00902A67"/>
    <w:rsid w:val="00902F34"/>
    <w:rsid w:val="00903024"/>
    <w:rsid w:val="00903149"/>
    <w:rsid w:val="009034FC"/>
    <w:rsid w:val="0090375A"/>
    <w:rsid w:val="00903B4F"/>
    <w:rsid w:val="00903C02"/>
    <w:rsid w:val="00903CFB"/>
    <w:rsid w:val="00903D2F"/>
    <w:rsid w:val="00903D6F"/>
    <w:rsid w:val="00904467"/>
    <w:rsid w:val="00904795"/>
    <w:rsid w:val="00904A5D"/>
    <w:rsid w:val="00904D7E"/>
    <w:rsid w:val="009050B9"/>
    <w:rsid w:val="009051CB"/>
    <w:rsid w:val="009054E6"/>
    <w:rsid w:val="009058B8"/>
    <w:rsid w:val="00905CFB"/>
    <w:rsid w:val="00906097"/>
    <w:rsid w:val="009065EC"/>
    <w:rsid w:val="00906616"/>
    <w:rsid w:val="00906914"/>
    <w:rsid w:val="00906A9A"/>
    <w:rsid w:val="00906DCE"/>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07FE4"/>
    <w:rsid w:val="009101D7"/>
    <w:rsid w:val="0091097C"/>
    <w:rsid w:val="00910D65"/>
    <w:rsid w:val="00911084"/>
    <w:rsid w:val="0091110D"/>
    <w:rsid w:val="00911141"/>
    <w:rsid w:val="009112C6"/>
    <w:rsid w:val="009117E9"/>
    <w:rsid w:val="00911908"/>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BC"/>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F9"/>
    <w:rsid w:val="009321DF"/>
    <w:rsid w:val="00932317"/>
    <w:rsid w:val="009323FC"/>
    <w:rsid w:val="00932BC5"/>
    <w:rsid w:val="00932D45"/>
    <w:rsid w:val="00932F78"/>
    <w:rsid w:val="00933208"/>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37DB1"/>
    <w:rsid w:val="0094056A"/>
    <w:rsid w:val="0094068A"/>
    <w:rsid w:val="0094098F"/>
    <w:rsid w:val="00940ACB"/>
    <w:rsid w:val="00941287"/>
    <w:rsid w:val="009412B2"/>
    <w:rsid w:val="00941430"/>
    <w:rsid w:val="00941537"/>
    <w:rsid w:val="009417A9"/>
    <w:rsid w:val="009418F7"/>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051"/>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CBF"/>
    <w:rsid w:val="00950D1A"/>
    <w:rsid w:val="009510DE"/>
    <w:rsid w:val="00951525"/>
    <w:rsid w:val="00951666"/>
    <w:rsid w:val="00951DF9"/>
    <w:rsid w:val="00952047"/>
    <w:rsid w:val="009521BC"/>
    <w:rsid w:val="0095242A"/>
    <w:rsid w:val="00952B22"/>
    <w:rsid w:val="00952BE3"/>
    <w:rsid w:val="00952D8C"/>
    <w:rsid w:val="00952FD1"/>
    <w:rsid w:val="00953101"/>
    <w:rsid w:val="00953898"/>
    <w:rsid w:val="00953A8C"/>
    <w:rsid w:val="00953A9D"/>
    <w:rsid w:val="00953B2E"/>
    <w:rsid w:val="00953B35"/>
    <w:rsid w:val="00953F48"/>
    <w:rsid w:val="0095421E"/>
    <w:rsid w:val="009543AE"/>
    <w:rsid w:val="00954403"/>
    <w:rsid w:val="00954629"/>
    <w:rsid w:val="00954790"/>
    <w:rsid w:val="00954820"/>
    <w:rsid w:val="00954ACC"/>
    <w:rsid w:val="00954C32"/>
    <w:rsid w:val="00954C47"/>
    <w:rsid w:val="00954DEE"/>
    <w:rsid w:val="00954F81"/>
    <w:rsid w:val="00955396"/>
    <w:rsid w:val="009553CF"/>
    <w:rsid w:val="00955461"/>
    <w:rsid w:val="00955504"/>
    <w:rsid w:val="009558DB"/>
    <w:rsid w:val="0095596A"/>
    <w:rsid w:val="009559DE"/>
    <w:rsid w:val="00955EF3"/>
    <w:rsid w:val="00956266"/>
    <w:rsid w:val="009563CF"/>
    <w:rsid w:val="00956907"/>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28A"/>
    <w:rsid w:val="00961461"/>
    <w:rsid w:val="00961685"/>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229F"/>
    <w:rsid w:val="00972413"/>
    <w:rsid w:val="00972523"/>
    <w:rsid w:val="009726DA"/>
    <w:rsid w:val="00972AE9"/>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B4F"/>
    <w:rsid w:val="00975CAB"/>
    <w:rsid w:val="0097607C"/>
    <w:rsid w:val="00976573"/>
    <w:rsid w:val="009765E1"/>
    <w:rsid w:val="009766BC"/>
    <w:rsid w:val="00976757"/>
    <w:rsid w:val="00976D64"/>
    <w:rsid w:val="00976DFF"/>
    <w:rsid w:val="00976EA2"/>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3958"/>
    <w:rsid w:val="00984484"/>
    <w:rsid w:val="0098455F"/>
    <w:rsid w:val="009848A7"/>
    <w:rsid w:val="00984A20"/>
    <w:rsid w:val="00984E99"/>
    <w:rsid w:val="00985670"/>
    <w:rsid w:val="009857F2"/>
    <w:rsid w:val="00985A3F"/>
    <w:rsid w:val="00985F95"/>
    <w:rsid w:val="00986572"/>
    <w:rsid w:val="009867FB"/>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66E"/>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1834"/>
    <w:rsid w:val="009A209D"/>
    <w:rsid w:val="009A2116"/>
    <w:rsid w:val="009A22B7"/>
    <w:rsid w:val="009A232F"/>
    <w:rsid w:val="009A3182"/>
    <w:rsid w:val="009A3292"/>
    <w:rsid w:val="009A32EC"/>
    <w:rsid w:val="009A3C59"/>
    <w:rsid w:val="009A408C"/>
    <w:rsid w:val="009A4105"/>
    <w:rsid w:val="009A4307"/>
    <w:rsid w:val="009A4661"/>
    <w:rsid w:val="009A4695"/>
    <w:rsid w:val="009A49F8"/>
    <w:rsid w:val="009A4FF9"/>
    <w:rsid w:val="009A55B9"/>
    <w:rsid w:val="009A59A2"/>
    <w:rsid w:val="009A5A26"/>
    <w:rsid w:val="009A5B27"/>
    <w:rsid w:val="009A5DAD"/>
    <w:rsid w:val="009A64C3"/>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6B5"/>
    <w:rsid w:val="009B08F6"/>
    <w:rsid w:val="009B091C"/>
    <w:rsid w:val="009B0E26"/>
    <w:rsid w:val="009B0F59"/>
    <w:rsid w:val="009B10A3"/>
    <w:rsid w:val="009B13AA"/>
    <w:rsid w:val="009B173F"/>
    <w:rsid w:val="009B18B6"/>
    <w:rsid w:val="009B1E80"/>
    <w:rsid w:val="009B1F55"/>
    <w:rsid w:val="009B1FAA"/>
    <w:rsid w:val="009B28BF"/>
    <w:rsid w:val="009B2E36"/>
    <w:rsid w:val="009B392E"/>
    <w:rsid w:val="009B394A"/>
    <w:rsid w:val="009B39E7"/>
    <w:rsid w:val="009B3C8F"/>
    <w:rsid w:val="009B3D01"/>
    <w:rsid w:val="009B4180"/>
    <w:rsid w:val="009B42F7"/>
    <w:rsid w:val="009B43A4"/>
    <w:rsid w:val="009B472D"/>
    <w:rsid w:val="009B502B"/>
    <w:rsid w:val="009B52B7"/>
    <w:rsid w:val="009B579E"/>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233A"/>
    <w:rsid w:val="009C282C"/>
    <w:rsid w:val="009C289A"/>
    <w:rsid w:val="009C28E2"/>
    <w:rsid w:val="009C298E"/>
    <w:rsid w:val="009C2D7B"/>
    <w:rsid w:val="009C3036"/>
    <w:rsid w:val="009C3129"/>
    <w:rsid w:val="009C32C6"/>
    <w:rsid w:val="009C3612"/>
    <w:rsid w:val="009C3A2D"/>
    <w:rsid w:val="009C3AEA"/>
    <w:rsid w:val="009C3B8E"/>
    <w:rsid w:val="009C3CE7"/>
    <w:rsid w:val="009C4091"/>
    <w:rsid w:val="009C4200"/>
    <w:rsid w:val="009C4B45"/>
    <w:rsid w:val="009C4E0E"/>
    <w:rsid w:val="009C4E33"/>
    <w:rsid w:val="009C5497"/>
    <w:rsid w:val="009C564D"/>
    <w:rsid w:val="009C5A8B"/>
    <w:rsid w:val="009C5B88"/>
    <w:rsid w:val="009C608C"/>
    <w:rsid w:val="009C62A8"/>
    <w:rsid w:val="009C6A81"/>
    <w:rsid w:val="009C6CC9"/>
    <w:rsid w:val="009C6F57"/>
    <w:rsid w:val="009C77CC"/>
    <w:rsid w:val="009C78D2"/>
    <w:rsid w:val="009C7CCF"/>
    <w:rsid w:val="009D009C"/>
    <w:rsid w:val="009D019B"/>
    <w:rsid w:val="009D01A9"/>
    <w:rsid w:val="009D0301"/>
    <w:rsid w:val="009D04FF"/>
    <w:rsid w:val="009D06D8"/>
    <w:rsid w:val="009D0F2E"/>
    <w:rsid w:val="009D0FFC"/>
    <w:rsid w:val="009D19D5"/>
    <w:rsid w:val="009D1B87"/>
    <w:rsid w:val="009D2367"/>
    <w:rsid w:val="009D2450"/>
    <w:rsid w:val="009D2AB9"/>
    <w:rsid w:val="009D2ABB"/>
    <w:rsid w:val="009D2F12"/>
    <w:rsid w:val="009D2F36"/>
    <w:rsid w:val="009D3236"/>
    <w:rsid w:val="009D32A2"/>
    <w:rsid w:val="009D471B"/>
    <w:rsid w:val="009D48DF"/>
    <w:rsid w:val="009D4CFE"/>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845"/>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5E07"/>
    <w:rsid w:val="009E61FC"/>
    <w:rsid w:val="009E6347"/>
    <w:rsid w:val="009E6724"/>
    <w:rsid w:val="009E675C"/>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96"/>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100C9"/>
    <w:rsid w:val="00A10124"/>
    <w:rsid w:val="00A101B6"/>
    <w:rsid w:val="00A10416"/>
    <w:rsid w:val="00A1076C"/>
    <w:rsid w:val="00A108EA"/>
    <w:rsid w:val="00A10A23"/>
    <w:rsid w:val="00A10D37"/>
    <w:rsid w:val="00A10DCF"/>
    <w:rsid w:val="00A112A9"/>
    <w:rsid w:val="00A112E5"/>
    <w:rsid w:val="00A11456"/>
    <w:rsid w:val="00A11535"/>
    <w:rsid w:val="00A1156D"/>
    <w:rsid w:val="00A12034"/>
    <w:rsid w:val="00A12736"/>
    <w:rsid w:val="00A1276C"/>
    <w:rsid w:val="00A12B00"/>
    <w:rsid w:val="00A12F00"/>
    <w:rsid w:val="00A132B6"/>
    <w:rsid w:val="00A134B0"/>
    <w:rsid w:val="00A13506"/>
    <w:rsid w:val="00A13E62"/>
    <w:rsid w:val="00A13FB6"/>
    <w:rsid w:val="00A143FD"/>
    <w:rsid w:val="00A149F2"/>
    <w:rsid w:val="00A14AB5"/>
    <w:rsid w:val="00A14BA0"/>
    <w:rsid w:val="00A14D3F"/>
    <w:rsid w:val="00A1529C"/>
    <w:rsid w:val="00A153EF"/>
    <w:rsid w:val="00A15682"/>
    <w:rsid w:val="00A15974"/>
    <w:rsid w:val="00A15A59"/>
    <w:rsid w:val="00A15C15"/>
    <w:rsid w:val="00A15F0C"/>
    <w:rsid w:val="00A16442"/>
    <w:rsid w:val="00A1681A"/>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1E1"/>
    <w:rsid w:val="00A22549"/>
    <w:rsid w:val="00A2291E"/>
    <w:rsid w:val="00A22A7E"/>
    <w:rsid w:val="00A22BF7"/>
    <w:rsid w:val="00A22CBB"/>
    <w:rsid w:val="00A22D49"/>
    <w:rsid w:val="00A22D5A"/>
    <w:rsid w:val="00A235E4"/>
    <w:rsid w:val="00A236CB"/>
    <w:rsid w:val="00A23A6A"/>
    <w:rsid w:val="00A23B91"/>
    <w:rsid w:val="00A244CC"/>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A95"/>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7B3"/>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82"/>
    <w:rsid w:val="00A57B95"/>
    <w:rsid w:val="00A57BD8"/>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D6"/>
    <w:rsid w:val="00A671C1"/>
    <w:rsid w:val="00A671DF"/>
    <w:rsid w:val="00A6730A"/>
    <w:rsid w:val="00A67503"/>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26"/>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5AD"/>
    <w:rsid w:val="00A76A03"/>
    <w:rsid w:val="00A76EF5"/>
    <w:rsid w:val="00A77205"/>
    <w:rsid w:val="00A7758E"/>
    <w:rsid w:val="00A77607"/>
    <w:rsid w:val="00A77BA5"/>
    <w:rsid w:val="00A77CF2"/>
    <w:rsid w:val="00A77D4E"/>
    <w:rsid w:val="00A77FE0"/>
    <w:rsid w:val="00A80058"/>
    <w:rsid w:val="00A8039F"/>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C0B"/>
    <w:rsid w:val="00A82D6A"/>
    <w:rsid w:val="00A8302C"/>
    <w:rsid w:val="00A8313F"/>
    <w:rsid w:val="00A8319E"/>
    <w:rsid w:val="00A8332F"/>
    <w:rsid w:val="00A83AC9"/>
    <w:rsid w:val="00A84111"/>
    <w:rsid w:val="00A84174"/>
    <w:rsid w:val="00A8435F"/>
    <w:rsid w:val="00A845DC"/>
    <w:rsid w:val="00A84884"/>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4CFD"/>
    <w:rsid w:val="00A95097"/>
    <w:rsid w:val="00A95227"/>
    <w:rsid w:val="00A952BF"/>
    <w:rsid w:val="00A952D9"/>
    <w:rsid w:val="00A953FD"/>
    <w:rsid w:val="00A95794"/>
    <w:rsid w:val="00A95B72"/>
    <w:rsid w:val="00A95BD2"/>
    <w:rsid w:val="00A9602C"/>
    <w:rsid w:val="00A961CD"/>
    <w:rsid w:val="00A96320"/>
    <w:rsid w:val="00A966EF"/>
    <w:rsid w:val="00A96A35"/>
    <w:rsid w:val="00A96E78"/>
    <w:rsid w:val="00A96FCD"/>
    <w:rsid w:val="00A97602"/>
    <w:rsid w:val="00A97745"/>
    <w:rsid w:val="00A9779D"/>
    <w:rsid w:val="00A97811"/>
    <w:rsid w:val="00A97B2F"/>
    <w:rsid w:val="00A97C20"/>
    <w:rsid w:val="00AA07A2"/>
    <w:rsid w:val="00AA08D9"/>
    <w:rsid w:val="00AA0A31"/>
    <w:rsid w:val="00AA0E80"/>
    <w:rsid w:val="00AA1C5F"/>
    <w:rsid w:val="00AA1C93"/>
    <w:rsid w:val="00AA1F76"/>
    <w:rsid w:val="00AA209B"/>
    <w:rsid w:val="00AA2303"/>
    <w:rsid w:val="00AA23E2"/>
    <w:rsid w:val="00AA2502"/>
    <w:rsid w:val="00AA25D0"/>
    <w:rsid w:val="00AA2674"/>
    <w:rsid w:val="00AA2679"/>
    <w:rsid w:val="00AA2B4D"/>
    <w:rsid w:val="00AA3051"/>
    <w:rsid w:val="00AA35BE"/>
    <w:rsid w:val="00AA3B69"/>
    <w:rsid w:val="00AA489F"/>
    <w:rsid w:val="00AA4B28"/>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B4F"/>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3EA4"/>
    <w:rsid w:val="00AB45FE"/>
    <w:rsid w:val="00AB505A"/>
    <w:rsid w:val="00AB5061"/>
    <w:rsid w:val="00AB5081"/>
    <w:rsid w:val="00AB5713"/>
    <w:rsid w:val="00AB5AFB"/>
    <w:rsid w:val="00AB5C2F"/>
    <w:rsid w:val="00AB60AB"/>
    <w:rsid w:val="00AB6569"/>
    <w:rsid w:val="00AB68C8"/>
    <w:rsid w:val="00AB6995"/>
    <w:rsid w:val="00AB69DA"/>
    <w:rsid w:val="00AB6BE0"/>
    <w:rsid w:val="00AB6FDE"/>
    <w:rsid w:val="00AB7227"/>
    <w:rsid w:val="00AB7457"/>
    <w:rsid w:val="00AB7783"/>
    <w:rsid w:val="00AB7BF9"/>
    <w:rsid w:val="00AC025A"/>
    <w:rsid w:val="00AC0A6C"/>
    <w:rsid w:val="00AC0BF9"/>
    <w:rsid w:val="00AC0D9E"/>
    <w:rsid w:val="00AC1032"/>
    <w:rsid w:val="00AC1045"/>
    <w:rsid w:val="00AC111D"/>
    <w:rsid w:val="00AC137E"/>
    <w:rsid w:val="00AC1562"/>
    <w:rsid w:val="00AC15F3"/>
    <w:rsid w:val="00AC172A"/>
    <w:rsid w:val="00AC1C1C"/>
    <w:rsid w:val="00AC23A5"/>
    <w:rsid w:val="00AC246B"/>
    <w:rsid w:val="00AC2515"/>
    <w:rsid w:val="00AC2671"/>
    <w:rsid w:val="00AC2D1E"/>
    <w:rsid w:val="00AC2DCD"/>
    <w:rsid w:val="00AC3116"/>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B92"/>
    <w:rsid w:val="00AD0C50"/>
    <w:rsid w:val="00AD0CF0"/>
    <w:rsid w:val="00AD0E0D"/>
    <w:rsid w:val="00AD0E10"/>
    <w:rsid w:val="00AD1156"/>
    <w:rsid w:val="00AD1354"/>
    <w:rsid w:val="00AD15D1"/>
    <w:rsid w:val="00AD1783"/>
    <w:rsid w:val="00AD195C"/>
    <w:rsid w:val="00AD1C81"/>
    <w:rsid w:val="00AD2264"/>
    <w:rsid w:val="00AD28B4"/>
    <w:rsid w:val="00AD2926"/>
    <w:rsid w:val="00AD2A87"/>
    <w:rsid w:val="00AD2C01"/>
    <w:rsid w:val="00AD2C95"/>
    <w:rsid w:val="00AD2E68"/>
    <w:rsid w:val="00AD2EA8"/>
    <w:rsid w:val="00AD2F42"/>
    <w:rsid w:val="00AD31F8"/>
    <w:rsid w:val="00AD3A86"/>
    <w:rsid w:val="00AD3F0E"/>
    <w:rsid w:val="00AD4269"/>
    <w:rsid w:val="00AD4312"/>
    <w:rsid w:val="00AD4364"/>
    <w:rsid w:val="00AD4645"/>
    <w:rsid w:val="00AD4A0B"/>
    <w:rsid w:val="00AD4BE6"/>
    <w:rsid w:val="00AD4E61"/>
    <w:rsid w:val="00AD575A"/>
    <w:rsid w:val="00AD5A38"/>
    <w:rsid w:val="00AD6179"/>
    <w:rsid w:val="00AD62F6"/>
    <w:rsid w:val="00AD68C7"/>
    <w:rsid w:val="00AD6AD9"/>
    <w:rsid w:val="00AD6CBF"/>
    <w:rsid w:val="00AD7450"/>
    <w:rsid w:val="00AD75CB"/>
    <w:rsid w:val="00AD7988"/>
    <w:rsid w:val="00AD7B55"/>
    <w:rsid w:val="00AD7B61"/>
    <w:rsid w:val="00AD7DAD"/>
    <w:rsid w:val="00AD7ECB"/>
    <w:rsid w:val="00AE0147"/>
    <w:rsid w:val="00AE03BB"/>
    <w:rsid w:val="00AE09F6"/>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4F00"/>
    <w:rsid w:val="00AE5065"/>
    <w:rsid w:val="00AE53B7"/>
    <w:rsid w:val="00AE5440"/>
    <w:rsid w:val="00AE5471"/>
    <w:rsid w:val="00AE54F2"/>
    <w:rsid w:val="00AE570B"/>
    <w:rsid w:val="00AE5A65"/>
    <w:rsid w:val="00AE5A6A"/>
    <w:rsid w:val="00AE5D9F"/>
    <w:rsid w:val="00AE60E5"/>
    <w:rsid w:val="00AE616F"/>
    <w:rsid w:val="00AE6415"/>
    <w:rsid w:val="00AE64EA"/>
    <w:rsid w:val="00AE68E9"/>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384"/>
    <w:rsid w:val="00AF199D"/>
    <w:rsid w:val="00AF1A49"/>
    <w:rsid w:val="00AF1F2E"/>
    <w:rsid w:val="00AF2158"/>
    <w:rsid w:val="00AF22E5"/>
    <w:rsid w:val="00AF22E6"/>
    <w:rsid w:val="00AF26A9"/>
    <w:rsid w:val="00AF2756"/>
    <w:rsid w:val="00AF2955"/>
    <w:rsid w:val="00AF29A7"/>
    <w:rsid w:val="00AF2ABA"/>
    <w:rsid w:val="00AF2B30"/>
    <w:rsid w:val="00AF2B5C"/>
    <w:rsid w:val="00AF3048"/>
    <w:rsid w:val="00AF3201"/>
    <w:rsid w:val="00AF3589"/>
    <w:rsid w:val="00AF3A15"/>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9F8"/>
    <w:rsid w:val="00AF6ADC"/>
    <w:rsid w:val="00AF6EDB"/>
    <w:rsid w:val="00AF70AE"/>
    <w:rsid w:val="00AF70B0"/>
    <w:rsid w:val="00AF789D"/>
    <w:rsid w:val="00AF79BF"/>
    <w:rsid w:val="00AF7CD0"/>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976"/>
    <w:rsid w:val="00B13BEF"/>
    <w:rsid w:val="00B13C26"/>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48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80"/>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181"/>
    <w:rsid w:val="00B364E2"/>
    <w:rsid w:val="00B36BCA"/>
    <w:rsid w:val="00B36E7F"/>
    <w:rsid w:val="00B36FC2"/>
    <w:rsid w:val="00B36FF9"/>
    <w:rsid w:val="00B372A9"/>
    <w:rsid w:val="00B374DC"/>
    <w:rsid w:val="00B37A6B"/>
    <w:rsid w:val="00B37A84"/>
    <w:rsid w:val="00B37AA0"/>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CE"/>
    <w:rsid w:val="00B424AC"/>
    <w:rsid w:val="00B42667"/>
    <w:rsid w:val="00B42C46"/>
    <w:rsid w:val="00B42EB2"/>
    <w:rsid w:val="00B42EC1"/>
    <w:rsid w:val="00B42EED"/>
    <w:rsid w:val="00B430A7"/>
    <w:rsid w:val="00B432B8"/>
    <w:rsid w:val="00B43C6F"/>
    <w:rsid w:val="00B440B5"/>
    <w:rsid w:val="00B4419E"/>
    <w:rsid w:val="00B4443F"/>
    <w:rsid w:val="00B44440"/>
    <w:rsid w:val="00B44B13"/>
    <w:rsid w:val="00B44CD4"/>
    <w:rsid w:val="00B44E1D"/>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D26"/>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5CE4"/>
    <w:rsid w:val="00B567D8"/>
    <w:rsid w:val="00B56DFF"/>
    <w:rsid w:val="00B56FBC"/>
    <w:rsid w:val="00B5774D"/>
    <w:rsid w:val="00B578D3"/>
    <w:rsid w:val="00B57D67"/>
    <w:rsid w:val="00B57EA1"/>
    <w:rsid w:val="00B57F53"/>
    <w:rsid w:val="00B600CE"/>
    <w:rsid w:val="00B60294"/>
    <w:rsid w:val="00B6038E"/>
    <w:rsid w:val="00B60889"/>
    <w:rsid w:val="00B60937"/>
    <w:rsid w:val="00B60B43"/>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8BF"/>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6DE"/>
    <w:rsid w:val="00B80940"/>
    <w:rsid w:val="00B80C6F"/>
    <w:rsid w:val="00B80D84"/>
    <w:rsid w:val="00B80D99"/>
    <w:rsid w:val="00B815B7"/>
    <w:rsid w:val="00B8162A"/>
    <w:rsid w:val="00B816F2"/>
    <w:rsid w:val="00B81DFD"/>
    <w:rsid w:val="00B81FAD"/>
    <w:rsid w:val="00B82DCF"/>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12"/>
    <w:rsid w:val="00B872A0"/>
    <w:rsid w:val="00B87607"/>
    <w:rsid w:val="00B87726"/>
    <w:rsid w:val="00B877AE"/>
    <w:rsid w:val="00B87800"/>
    <w:rsid w:val="00B878E5"/>
    <w:rsid w:val="00B903D4"/>
    <w:rsid w:val="00B9042F"/>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9CA"/>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1057"/>
    <w:rsid w:val="00BA1075"/>
    <w:rsid w:val="00BA1434"/>
    <w:rsid w:val="00BA1E4B"/>
    <w:rsid w:val="00BA20BE"/>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8BA"/>
    <w:rsid w:val="00BA5A5D"/>
    <w:rsid w:val="00BA5B75"/>
    <w:rsid w:val="00BA60D9"/>
    <w:rsid w:val="00BA62B4"/>
    <w:rsid w:val="00BA63F4"/>
    <w:rsid w:val="00BA64A2"/>
    <w:rsid w:val="00BA6500"/>
    <w:rsid w:val="00BA6542"/>
    <w:rsid w:val="00BA662B"/>
    <w:rsid w:val="00BA6B57"/>
    <w:rsid w:val="00BA76D7"/>
    <w:rsid w:val="00BA7C14"/>
    <w:rsid w:val="00BA7E33"/>
    <w:rsid w:val="00BB003B"/>
    <w:rsid w:val="00BB015A"/>
    <w:rsid w:val="00BB0216"/>
    <w:rsid w:val="00BB0529"/>
    <w:rsid w:val="00BB06EB"/>
    <w:rsid w:val="00BB0856"/>
    <w:rsid w:val="00BB090D"/>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F3F"/>
    <w:rsid w:val="00BC264B"/>
    <w:rsid w:val="00BC2C2C"/>
    <w:rsid w:val="00BC2D0C"/>
    <w:rsid w:val="00BC361B"/>
    <w:rsid w:val="00BC3BA4"/>
    <w:rsid w:val="00BC3C36"/>
    <w:rsid w:val="00BC3E10"/>
    <w:rsid w:val="00BC3E5F"/>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3FF"/>
    <w:rsid w:val="00BD48CE"/>
    <w:rsid w:val="00BD4950"/>
    <w:rsid w:val="00BD49C6"/>
    <w:rsid w:val="00BD4C98"/>
    <w:rsid w:val="00BD4CA4"/>
    <w:rsid w:val="00BD4DF6"/>
    <w:rsid w:val="00BD507D"/>
    <w:rsid w:val="00BD54D5"/>
    <w:rsid w:val="00BD5A37"/>
    <w:rsid w:val="00BD5CA4"/>
    <w:rsid w:val="00BD6284"/>
    <w:rsid w:val="00BD637C"/>
    <w:rsid w:val="00BD6AF3"/>
    <w:rsid w:val="00BD7587"/>
    <w:rsid w:val="00BD7B08"/>
    <w:rsid w:val="00BD7D6A"/>
    <w:rsid w:val="00BD7E40"/>
    <w:rsid w:val="00BE001E"/>
    <w:rsid w:val="00BE01D4"/>
    <w:rsid w:val="00BE0431"/>
    <w:rsid w:val="00BE060B"/>
    <w:rsid w:val="00BE0684"/>
    <w:rsid w:val="00BE077A"/>
    <w:rsid w:val="00BE0CBF"/>
    <w:rsid w:val="00BE0DF8"/>
    <w:rsid w:val="00BE19B0"/>
    <w:rsid w:val="00BE1D6C"/>
    <w:rsid w:val="00BE20E8"/>
    <w:rsid w:val="00BE2162"/>
    <w:rsid w:val="00BE2322"/>
    <w:rsid w:val="00BE2422"/>
    <w:rsid w:val="00BE2629"/>
    <w:rsid w:val="00BE2825"/>
    <w:rsid w:val="00BE2E91"/>
    <w:rsid w:val="00BE31DD"/>
    <w:rsid w:val="00BE35D9"/>
    <w:rsid w:val="00BE36E1"/>
    <w:rsid w:val="00BE3870"/>
    <w:rsid w:val="00BE3AEC"/>
    <w:rsid w:val="00BE3B50"/>
    <w:rsid w:val="00BE3D93"/>
    <w:rsid w:val="00BE3E61"/>
    <w:rsid w:val="00BE3ED2"/>
    <w:rsid w:val="00BE49C4"/>
    <w:rsid w:val="00BE4E22"/>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5AB"/>
    <w:rsid w:val="00BE79A6"/>
    <w:rsid w:val="00BE7CEB"/>
    <w:rsid w:val="00BE7D01"/>
    <w:rsid w:val="00BF024F"/>
    <w:rsid w:val="00BF032A"/>
    <w:rsid w:val="00BF0498"/>
    <w:rsid w:val="00BF0649"/>
    <w:rsid w:val="00BF08BA"/>
    <w:rsid w:val="00BF0979"/>
    <w:rsid w:val="00BF0DA9"/>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8C5"/>
    <w:rsid w:val="00BF4F2C"/>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33C"/>
    <w:rsid w:val="00C0264E"/>
    <w:rsid w:val="00C029FF"/>
    <w:rsid w:val="00C030CB"/>
    <w:rsid w:val="00C03305"/>
    <w:rsid w:val="00C0349C"/>
    <w:rsid w:val="00C036F8"/>
    <w:rsid w:val="00C03B48"/>
    <w:rsid w:val="00C03B93"/>
    <w:rsid w:val="00C03C1F"/>
    <w:rsid w:val="00C040CE"/>
    <w:rsid w:val="00C04175"/>
    <w:rsid w:val="00C04184"/>
    <w:rsid w:val="00C04306"/>
    <w:rsid w:val="00C04747"/>
    <w:rsid w:val="00C048DC"/>
    <w:rsid w:val="00C04999"/>
    <w:rsid w:val="00C04ACC"/>
    <w:rsid w:val="00C04D6E"/>
    <w:rsid w:val="00C04F74"/>
    <w:rsid w:val="00C04F7D"/>
    <w:rsid w:val="00C051D1"/>
    <w:rsid w:val="00C052B4"/>
    <w:rsid w:val="00C05A30"/>
    <w:rsid w:val="00C063BF"/>
    <w:rsid w:val="00C06408"/>
    <w:rsid w:val="00C06A58"/>
    <w:rsid w:val="00C06CA1"/>
    <w:rsid w:val="00C06E11"/>
    <w:rsid w:val="00C06F5F"/>
    <w:rsid w:val="00C07571"/>
    <w:rsid w:val="00C07915"/>
    <w:rsid w:val="00C07950"/>
    <w:rsid w:val="00C07A37"/>
    <w:rsid w:val="00C07B97"/>
    <w:rsid w:val="00C07CC5"/>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990"/>
    <w:rsid w:val="00C14BAC"/>
    <w:rsid w:val="00C14D3C"/>
    <w:rsid w:val="00C1542D"/>
    <w:rsid w:val="00C158DF"/>
    <w:rsid w:val="00C15F0D"/>
    <w:rsid w:val="00C16401"/>
    <w:rsid w:val="00C16596"/>
    <w:rsid w:val="00C16726"/>
    <w:rsid w:val="00C16743"/>
    <w:rsid w:val="00C169CD"/>
    <w:rsid w:val="00C16CA8"/>
    <w:rsid w:val="00C16CC5"/>
    <w:rsid w:val="00C16CC9"/>
    <w:rsid w:val="00C16D1D"/>
    <w:rsid w:val="00C17571"/>
    <w:rsid w:val="00C17579"/>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C51"/>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6E8A"/>
    <w:rsid w:val="00C470D3"/>
    <w:rsid w:val="00C47909"/>
    <w:rsid w:val="00C47E79"/>
    <w:rsid w:val="00C47F82"/>
    <w:rsid w:val="00C47FD4"/>
    <w:rsid w:val="00C5007B"/>
    <w:rsid w:val="00C50222"/>
    <w:rsid w:val="00C505EC"/>
    <w:rsid w:val="00C50640"/>
    <w:rsid w:val="00C506D6"/>
    <w:rsid w:val="00C50BB4"/>
    <w:rsid w:val="00C519E8"/>
    <w:rsid w:val="00C51BE7"/>
    <w:rsid w:val="00C51D43"/>
    <w:rsid w:val="00C522AB"/>
    <w:rsid w:val="00C5238F"/>
    <w:rsid w:val="00C52395"/>
    <w:rsid w:val="00C52CB1"/>
    <w:rsid w:val="00C52ED0"/>
    <w:rsid w:val="00C530B7"/>
    <w:rsid w:val="00C532CD"/>
    <w:rsid w:val="00C53495"/>
    <w:rsid w:val="00C534F1"/>
    <w:rsid w:val="00C53560"/>
    <w:rsid w:val="00C53627"/>
    <w:rsid w:val="00C5371A"/>
    <w:rsid w:val="00C53768"/>
    <w:rsid w:val="00C539A5"/>
    <w:rsid w:val="00C53A47"/>
    <w:rsid w:val="00C53BC3"/>
    <w:rsid w:val="00C544C8"/>
    <w:rsid w:val="00C544F1"/>
    <w:rsid w:val="00C545CC"/>
    <w:rsid w:val="00C54ABB"/>
    <w:rsid w:val="00C54CD5"/>
    <w:rsid w:val="00C55005"/>
    <w:rsid w:val="00C55072"/>
    <w:rsid w:val="00C5509D"/>
    <w:rsid w:val="00C550A8"/>
    <w:rsid w:val="00C55185"/>
    <w:rsid w:val="00C551B7"/>
    <w:rsid w:val="00C55445"/>
    <w:rsid w:val="00C55551"/>
    <w:rsid w:val="00C55D0D"/>
    <w:rsid w:val="00C55DB0"/>
    <w:rsid w:val="00C55FAC"/>
    <w:rsid w:val="00C56300"/>
    <w:rsid w:val="00C563CB"/>
    <w:rsid w:val="00C56442"/>
    <w:rsid w:val="00C56487"/>
    <w:rsid w:val="00C56634"/>
    <w:rsid w:val="00C56BCD"/>
    <w:rsid w:val="00C56CB5"/>
    <w:rsid w:val="00C56FAE"/>
    <w:rsid w:val="00C573DE"/>
    <w:rsid w:val="00C575EF"/>
    <w:rsid w:val="00C57958"/>
    <w:rsid w:val="00C57CE6"/>
    <w:rsid w:val="00C601D9"/>
    <w:rsid w:val="00C60397"/>
    <w:rsid w:val="00C60534"/>
    <w:rsid w:val="00C6082D"/>
    <w:rsid w:val="00C60B4B"/>
    <w:rsid w:val="00C61050"/>
    <w:rsid w:val="00C610F1"/>
    <w:rsid w:val="00C61E29"/>
    <w:rsid w:val="00C62184"/>
    <w:rsid w:val="00C6225C"/>
    <w:rsid w:val="00C625FB"/>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3B9"/>
    <w:rsid w:val="00C6768E"/>
    <w:rsid w:val="00C67746"/>
    <w:rsid w:val="00C677DC"/>
    <w:rsid w:val="00C67CA6"/>
    <w:rsid w:val="00C67D7A"/>
    <w:rsid w:val="00C70039"/>
    <w:rsid w:val="00C703B8"/>
    <w:rsid w:val="00C704E2"/>
    <w:rsid w:val="00C70B84"/>
    <w:rsid w:val="00C70DE8"/>
    <w:rsid w:val="00C70E8C"/>
    <w:rsid w:val="00C70FAA"/>
    <w:rsid w:val="00C712E2"/>
    <w:rsid w:val="00C7147A"/>
    <w:rsid w:val="00C714B6"/>
    <w:rsid w:val="00C71756"/>
    <w:rsid w:val="00C71A28"/>
    <w:rsid w:val="00C71D1B"/>
    <w:rsid w:val="00C71EA8"/>
    <w:rsid w:val="00C720C2"/>
    <w:rsid w:val="00C7236C"/>
    <w:rsid w:val="00C724D9"/>
    <w:rsid w:val="00C725E4"/>
    <w:rsid w:val="00C729C8"/>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294"/>
    <w:rsid w:val="00C76615"/>
    <w:rsid w:val="00C7666B"/>
    <w:rsid w:val="00C76A19"/>
    <w:rsid w:val="00C76BDC"/>
    <w:rsid w:val="00C76BFC"/>
    <w:rsid w:val="00C77068"/>
    <w:rsid w:val="00C7741C"/>
    <w:rsid w:val="00C77731"/>
    <w:rsid w:val="00C778BD"/>
    <w:rsid w:val="00C779E4"/>
    <w:rsid w:val="00C8061A"/>
    <w:rsid w:val="00C80A77"/>
    <w:rsid w:val="00C80F40"/>
    <w:rsid w:val="00C81045"/>
    <w:rsid w:val="00C81361"/>
    <w:rsid w:val="00C81642"/>
    <w:rsid w:val="00C816D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CE7"/>
    <w:rsid w:val="00C83EB3"/>
    <w:rsid w:val="00C842FF"/>
    <w:rsid w:val="00C8432D"/>
    <w:rsid w:val="00C8448B"/>
    <w:rsid w:val="00C84627"/>
    <w:rsid w:val="00C84716"/>
    <w:rsid w:val="00C8489C"/>
    <w:rsid w:val="00C84B9F"/>
    <w:rsid w:val="00C84EDF"/>
    <w:rsid w:val="00C8554E"/>
    <w:rsid w:val="00C85E53"/>
    <w:rsid w:val="00C86031"/>
    <w:rsid w:val="00C860E4"/>
    <w:rsid w:val="00C86960"/>
    <w:rsid w:val="00C86D51"/>
    <w:rsid w:val="00C87375"/>
    <w:rsid w:val="00C87420"/>
    <w:rsid w:val="00C87ADF"/>
    <w:rsid w:val="00C87F1A"/>
    <w:rsid w:val="00C90212"/>
    <w:rsid w:val="00C90D46"/>
    <w:rsid w:val="00C90DEF"/>
    <w:rsid w:val="00C910A5"/>
    <w:rsid w:val="00C91917"/>
    <w:rsid w:val="00C91A24"/>
    <w:rsid w:val="00C91D47"/>
    <w:rsid w:val="00C91EED"/>
    <w:rsid w:val="00C91F33"/>
    <w:rsid w:val="00C91F8F"/>
    <w:rsid w:val="00C927B0"/>
    <w:rsid w:val="00C929E2"/>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33B"/>
    <w:rsid w:val="00CA3698"/>
    <w:rsid w:val="00CA37EF"/>
    <w:rsid w:val="00CA3BB0"/>
    <w:rsid w:val="00CA3CC1"/>
    <w:rsid w:val="00CA3EF3"/>
    <w:rsid w:val="00CA46CF"/>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4CE"/>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E9B"/>
    <w:rsid w:val="00CB2F05"/>
    <w:rsid w:val="00CB2F51"/>
    <w:rsid w:val="00CB3231"/>
    <w:rsid w:val="00CB32AD"/>
    <w:rsid w:val="00CB3735"/>
    <w:rsid w:val="00CB387A"/>
    <w:rsid w:val="00CB3968"/>
    <w:rsid w:val="00CB3E90"/>
    <w:rsid w:val="00CB439E"/>
    <w:rsid w:val="00CB445C"/>
    <w:rsid w:val="00CB4676"/>
    <w:rsid w:val="00CB4EFA"/>
    <w:rsid w:val="00CB51F8"/>
    <w:rsid w:val="00CB55BA"/>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201"/>
    <w:rsid w:val="00CC2CFF"/>
    <w:rsid w:val="00CC3743"/>
    <w:rsid w:val="00CC3769"/>
    <w:rsid w:val="00CC38F1"/>
    <w:rsid w:val="00CC3E05"/>
    <w:rsid w:val="00CC43EC"/>
    <w:rsid w:val="00CC45C6"/>
    <w:rsid w:val="00CC4C7F"/>
    <w:rsid w:val="00CC4CAF"/>
    <w:rsid w:val="00CC4D0F"/>
    <w:rsid w:val="00CC4D46"/>
    <w:rsid w:val="00CC5071"/>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282"/>
    <w:rsid w:val="00CD1462"/>
    <w:rsid w:val="00CD15C4"/>
    <w:rsid w:val="00CD1848"/>
    <w:rsid w:val="00CD1921"/>
    <w:rsid w:val="00CD1D4D"/>
    <w:rsid w:val="00CD2057"/>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3E00"/>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9CC"/>
    <w:rsid w:val="00CD7A02"/>
    <w:rsid w:val="00CD7DC9"/>
    <w:rsid w:val="00CE0553"/>
    <w:rsid w:val="00CE0602"/>
    <w:rsid w:val="00CE0A3C"/>
    <w:rsid w:val="00CE0AC5"/>
    <w:rsid w:val="00CE0C8E"/>
    <w:rsid w:val="00CE0F06"/>
    <w:rsid w:val="00CE124D"/>
    <w:rsid w:val="00CE13AA"/>
    <w:rsid w:val="00CE1492"/>
    <w:rsid w:val="00CE1BC7"/>
    <w:rsid w:val="00CE229D"/>
    <w:rsid w:val="00CE2547"/>
    <w:rsid w:val="00CE25A3"/>
    <w:rsid w:val="00CE2B0C"/>
    <w:rsid w:val="00CE3553"/>
    <w:rsid w:val="00CE361A"/>
    <w:rsid w:val="00CE36DF"/>
    <w:rsid w:val="00CE37CF"/>
    <w:rsid w:val="00CE37EA"/>
    <w:rsid w:val="00CE39C0"/>
    <w:rsid w:val="00CE39D8"/>
    <w:rsid w:val="00CE3EFA"/>
    <w:rsid w:val="00CE4586"/>
    <w:rsid w:val="00CE45F0"/>
    <w:rsid w:val="00CE4758"/>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E0"/>
    <w:rsid w:val="00CF27F7"/>
    <w:rsid w:val="00CF2A51"/>
    <w:rsid w:val="00CF2AFE"/>
    <w:rsid w:val="00CF2C94"/>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6637"/>
    <w:rsid w:val="00CF69E7"/>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A0C"/>
    <w:rsid w:val="00D01AC3"/>
    <w:rsid w:val="00D01BF0"/>
    <w:rsid w:val="00D01E93"/>
    <w:rsid w:val="00D01FAD"/>
    <w:rsid w:val="00D025A6"/>
    <w:rsid w:val="00D02609"/>
    <w:rsid w:val="00D02681"/>
    <w:rsid w:val="00D029C3"/>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A3"/>
    <w:rsid w:val="00D123E0"/>
    <w:rsid w:val="00D12DA3"/>
    <w:rsid w:val="00D12F97"/>
    <w:rsid w:val="00D12FCC"/>
    <w:rsid w:val="00D12FFA"/>
    <w:rsid w:val="00D130E9"/>
    <w:rsid w:val="00D1316F"/>
    <w:rsid w:val="00D13868"/>
    <w:rsid w:val="00D13D4C"/>
    <w:rsid w:val="00D13E42"/>
    <w:rsid w:val="00D14046"/>
    <w:rsid w:val="00D14687"/>
    <w:rsid w:val="00D14741"/>
    <w:rsid w:val="00D14A5A"/>
    <w:rsid w:val="00D14C0C"/>
    <w:rsid w:val="00D1539E"/>
    <w:rsid w:val="00D1548A"/>
    <w:rsid w:val="00D1561B"/>
    <w:rsid w:val="00D15C2B"/>
    <w:rsid w:val="00D16136"/>
    <w:rsid w:val="00D164C8"/>
    <w:rsid w:val="00D16841"/>
    <w:rsid w:val="00D168E6"/>
    <w:rsid w:val="00D16A78"/>
    <w:rsid w:val="00D171CF"/>
    <w:rsid w:val="00D172D5"/>
    <w:rsid w:val="00D17A23"/>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D6C"/>
    <w:rsid w:val="00D24D8C"/>
    <w:rsid w:val="00D24DF8"/>
    <w:rsid w:val="00D2523C"/>
    <w:rsid w:val="00D252CF"/>
    <w:rsid w:val="00D253D9"/>
    <w:rsid w:val="00D2564C"/>
    <w:rsid w:val="00D25801"/>
    <w:rsid w:val="00D25D8A"/>
    <w:rsid w:val="00D26150"/>
    <w:rsid w:val="00D2625A"/>
    <w:rsid w:val="00D264A5"/>
    <w:rsid w:val="00D2687D"/>
    <w:rsid w:val="00D26BAE"/>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606"/>
    <w:rsid w:val="00D33647"/>
    <w:rsid w:val="00D3366C"/>
    <w:rsid w:val="00D33E78"/>
    <w:rsid w:val="00D33EF5"/>
    <w:rsid w:val="00D34257"/>
    <w:rsid w:val="00D3439B"/>
    <w:rsid w:val="00D34B64"/>
    <w:rsid w:val="00D34C94"/>
    <w:rsid w:val="00D3513E"/>
    <w:rsid w:val="00D3538E"/>
    <w:rsid w:val="00D3557B"/>
    <w:rsid w:val="00D35CE2"/>
    <w:rsid w:val="00D35D5F"/>
    <w:rsid w:val="00D35D8B"/>
    <w:rsid w:val="00D35DEF"/>
    <w:rsid w:val="00D360B4"/>
    <w:rsid w:val="00D36349"/>
    <w:rsid w:val="00D36450"/>
    <w:rsid w:val="00D3670C"/>
    <w:rsid w:val="00D3684A"/>
    <w:rsid w:val="00D37067"/>
    <w:rsid w:val="00D374EC"/>
    <w:rsid w:val="00D40737"/>
    <w:rsid w:val="00D40766"/>
    <w:rsid w:val="00D40A59"/>
    <w:rsid w:val="00D40D83"/>
    <w:rsid w:val="00D41318"/>
    <w:rsid w:val="00D4138A"/>
    <w:rsid w:val="00D41409"/>
    <w:rsid w:val="00D416B2"/>
    <w:rsid w:val="00D416DF"/>
    <w:rsid w:val="00D41AB4"/>
    <w:rsid w:val="00D41CF7"/>
    <w:rsid w:val="00D41E8E"/>
    <w:rsid w:val="00D4206D"/>
    <w:rsid w:val="00D421F5"/>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BAA"/>
    <w:rsid w:val="00D44F48"/>
    <w:rsid w:val="00D454DB"/>
    <w:rsid w:val="00D457F6"/>
    <w:rsid w:val="00D45891"/>
    <w:rsid w:val="00D45DC2"/>
    <w:rsid w:val="00D46BCB"/>
    <w:rsid w:val="00D46F55"/>
    <w:rsid w:val="00D4730E"/>
    <w:rsid w:val="00D474C3"/>
    <w:rsid w:val="00D47505"/>
    <w:rsid w:val="00D4755F"/>
    <w:rsid w:val="00D4799B"/>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AF3"/>
    <w:rsid w:val="00D52C0D"/>
    <w:rsid w:val="00D52E8E"/>
    <w:rsid w:val="00D53116"/>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42A"/>
    <w:rsid w:val="00D627A0"/>
    <w:rsid w:val="00D62887"/>
    <w:rsid w:val="00D62979"/>
    <w:rsid w:val="00D62A8E"/>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5C7F"/>
    <w:rsid w:val="00D66005"/>
    <w:rsid w:val="00D660B5"/>
    <w:rsid w:val="00D66528"/>
    <w:rsid w:val="00D6684A"/>
    <w:rsid w:val="00D66A27"/>
    <w:rsid w:val="00D66AAC"/>
    <w:rsid w:val="00D66BB5"/>
    <w:rsid w:val="00D6746A"/>
    <w:rsid w:val="00D67903"/>
    <w:rsid w:val="00D67D62"/>
    <w:rsid w:val="00D67D80"/>
    <w:rsid w:val="00D70224"/>
    <w:rsid w:val="00D706BA"/>
    <w:rsid w:val="00D70ABB"/>
    <w:rsid w:val="00D70B21"/>
    <w:rsid w:val="00D70C30"/>
    <w:rsid w:val="00D70E69"/>
    <w:rsid w:val="00D7115E"/>
    <w:rsid w:val="00D71219"/>
    <w:rsid w:val="00D715FC"/>
    <w:rsid w:val="00D7181F"/>
    <w:rsid w:val="00D71AFE"/>
    <w:rsid w:val="00D71BCD"/>
    <w:rsid w:val="00D71F8B"/>
    <w:rsid w:val="00D72431"/>
    <w:rsid w:val="00D728B1"/>
    <w:rsid w:val="00D728B5"/>
    <w:rsid w:val="00D72947"/>
    <w:rsid w:val="00D72AF1"/>
    <w:rsid w:val="00D72C0D"/>
    <w:rsid w:val="00D72C9F"/>
    <w:rsid w:val="00D73319"/>
    <w:rsid w:val="00D73521"/>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AEA"/>
    <w:rsid w:val="00D87B1D"/>
    <w:rsid w:val="00D90213"/>
    <w:rsid w:val="00D902DC"/>
    <w:rsid w:val="00D903A4"/>
    <w:rsid w:val="00D903E3"/>
    <w:rsid w:val="00D90528"/>
    <w:rsid w:val="00D908A9"/>
    <w:rsid w:val="00D90A56"/>
    <w:rsid w:val="00D90DE9"/>
    <w:rsid w:val="00D90E74"/>
    <w:rsid w:val="00D90FAF"/>
    <w:rsid w:val="00D9107F"/>
    <w:rsid w:val="00D912B8"/>
    <w:rsid w:val="00D912D4"/>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6CA1"/>
    <w:rsid w:val="00D97A93"/>
    <w:rsid w:val="00D97EDD"/>
    <w:rsid w:val="00D97FF4"/>
    <w:rsid w:val="00DA0468"/>
    <w:rsid w:val="00DA05C5"/>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2E5"/>
    <w:rsid w:val="00DA3377"/>
    <w:rsid w:val="00DA36C9"/>
    <w:rsid w:val="00DA3B5C"/>
    <w:rsid w:val="00DA4119"/>
    <w:rsid w:val="00DA41EA"/>
    <w:rsid w:val="00DA436F"/>
    <w:rsid w:val="00DA4453"/>
    <w:rsid w:val="00DA4476"/>
    <w:rsid w:val="00DA44A0"/>
    <w:rsid w:val="00DA4A74"/>
    <w:rsid w:val="00DA4BF2"/>
    <w:rsid w:val="00DA4C71"/>
    <w:rsid w:val="00DA4FD3"/>
    <w:rsid w:val="00DA5489"/>
    <w:rsid w:val="00DA59FB"/>
    <w:rsid w:val="00DA5BF7"/>
    <w:rsid w:val="00DA5D6F"/>
    <w:rsid w:val="00DA640F"/>
    <w:rsid w:val="00DA6492"/>
    <w:rsid w:val="00DA67F6"/>
    <w:rsid w:val="00DA6A6A"/>
    <w:rsid w:val="00DA6D15"/>
    <w:rsid w:val="00DA760A"/>
    <w:rsid w:val="00DA76DF"/>
    <w:rsid w:val="00DA7719"/>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31A4"/>
    <w:rsid w:val="00DB3246"/>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B09"/>
    <w:rsid w:val="00DC2E1B"/>
    <w:rsid w:val="00DC3262"/>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30D"/>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167"/>
    <w:rsid w:val="00DD5CA0"/>
    <w:rsid w:val="00DD5CAC"/>
    <w:rsid w:val="00DD5D0B"/>
    <w:rsid w:val="00DD5EDC"/>
    <w:rsid w:val="00DD5F17"/>
    <w:rsid w:val="00DD5F74"/>
    <w:rsid w:val="00DD6051"/>
    <w:rsid w:val="00DD613B"/>
    <w:rsid w:val="00DD6F96"/>
    <w:rsid w:val="00DD6F9E"/>
    <w:rsid w:val="00DD6FB1"/>
    <w:rsid w:val="00DD74F8"/>
    <w:rsid w:val="00DD7818"/>
    <w:rsid w:val="00DE027D"/>
    <w:rsid w:val="00DE08CC"/>
    <w:rsid w:val="00DE0B62"/>
    <w:rsid w:val="00DE0C45"/>
    <w:rsid w:val="00DE1183"/>
    <w:rsid w:val="00DE1311"/>
    <w:rsid w:val="00DE1C38"/>
    <w:rsid w:val="00DE1D3C"/>
    <w:rsid w:val="00DE1DE5"/>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0DB"/>
    <w:rsid w:val="00DE62F6"/>
    <w:rsid w:val="00DE6335"/>
    <w:rsid w:val="00DE66F5"/>
    <w:rsid w:val="00DE6AF2"/>
    <w:rsid w:val="00DE70EE"/>
    <w:rsid w:val="00DE77E8"/>
    <w:rsid w:val="00DE7CD0"/>
    <w:rsid w:val="00DF0016"/>
    <w:rsid w:val="00DF01BF"/>
    <w:rsid w:val="00DF0661"/>
    <w:rsid w:val="00DF0734"/>
    <w:rsid w:val="00DF156E"/>
    <w:rsid w:val="00DF20E3"/>
    <w:rsid w:val="00DF212F"/>
    <w:rsid w:val="00DF25BA"/>
    <w:rsid w:val="00DF27BE"/>
    <w:rsid w:val="00DF2927"/>
    <w:rsid w:val="00DF29DE"/>
    <w:rsid w:val="00DF2A59"/>
    <w:rsid w:val="00DF2B23"/>
    <w:rsid w:val="00DF2CBD"/>
    <w:rsid w:val="00DF2DB2"/>
    <w:rsid w:val="00DF2EB7"/>
    <w:rsid w:val="00DF311E"/>
    <w:rsid w:val="00DF35D4"/>
    <w:rsid w:val="00DF36D4"/>
    <w:rsid w:val="00DF390C"/>
    <w:rsid w:val="00DF3A96"/>
    <w:rsid w:val="00DF3CF5"/>
    <w:rsid w:val="00DF4362"/>
    <w:rsid w:val="00DF4395"/>
    <w:rsid w:val="00DF4457"/>
    <w:rsid w:val="00DF4990"/>
    <w:rsid w:val="00DF4A72"/>
    <w:rsid w:val="00DF4B13"/>
    <w:rsid w:val="00DF4BBD"/>
    <w:rsid w:val="00DF5179"/>
    <w:rsid w:val="00DF5888"/>
    <w:rsid w:val="00DF5BB7"/>
    <w:rsid w:val="00DF5BFF"/>
    <w:rsid w:val="00DF5C15"/>
    <w:rsid w:val="00DF6089"/>
    <w:rsid w:val="00DF67B9"/>
    <w:rsid w:val="00DF69C2"/>
    <w:rsid w:val="00DF6B1F"/>
    <w:rsid w:val="00DF6CB3"/>
    <w:rsid w:val="00DF7171"/>
    <w:rsid w:val="00DF72FC"/>
    <w:rsid w:val="00DF72FD"/>
    <w:rsid w:val="00DF76C1"/>
    <w:rsid w:val="00DF7816"/>
    <w:rsid w:val="00DF7B84"/>
    <w:rsid w:val="00DF7E78"/>
    <w:rsid w:val="00E00324"/>
    <w:rsid w:val="00E004A4"/>
    <w:rsid w:val="00E006B5"/>
    <w:rsid w:val="00E009D5"/>
    <w:rsid w:val="00E00FE0"/>
    <w:rsid w:val="00E011AD"/>
    <w:rsid w:val="00E0139C"/>
    <w:rsid w:val="00E0192B"/>
    <w:rsid w:val="00E0196A"/>
    <w:rsid w:val="00E01C26"/>
    <w:rsid w:val="00E01FF8"/>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6175"/>
    <w:rsid w:val="00E0652B"/>
    <w:rsid w:val="00E067A4"/>
    <w:rsid w:val="00E0696B"/>
    <w:rsid w:val="00E06AC9"/>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12BF"/>
    <w:rsid w:val="00E1211F"/>
    <w:rsid w:val="00E1224C"/>
    <w:rsid w:val="00E12303"/>
    <w:rsid w:val="00E123E5"/>
    <w:rsid w:val="00E12480"/>
    <w:rsid w:val="00E12746"/>
    <w:rsid w:val="00E1278F"/>
    <w:rsid w:val="00E12A72"/>
    <w:rsid w:val="00E12AEA"/>
    <w:rsid w:val="00E12AEF"/>
    <w:rsid w:val="00E12CAB"/>
    <w:rsid w:val="00E12F38"/>
    <w:rsid w:val="00E14225"/>
    <w:rsid w:val="00E1446D"/>
    <w:rsid w:val="00E14ABE"/>
    <w:rsid w:val="00E14CF8"/>
    <w:rsid w:val="00E14D4E"/>
    <w:rsid w:val="00E14E07"/>
    <w:rsid w:val="00E14F04"/>
    <w:rsid w:val="00E14FDE"/>
    <w:rsid w:val="00E15370"/>
    <w:rsid w:val="00E155E6"/>
    <w:rsid w:val="00E15622"/>
    <w:rsid w:val="00E1562A"/>
    <w:rsid w:val="00E15747"/>
    <w:rsid w:val="00E15AEC"/>
    <w:rsid w:val="00E15D6A"/>
    <w:rsid w:val="00E160FE"/>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0E57"/>
    <w:rsid w:val="00E2165B"/>
    <w:rsid w:val="00E218C0"/>
    <w:rsid w:val="00E219A8"/>
    <w:rsid w:val="00E21BA2"/>
    <w:rsid w:val="00E21C27"/>
    <w:rsid w:val="00E21C38"/>
    <w:rsid w:val="00E22345"/>
    <w:rsid w:val="00E229AE"/>
    <w:rsid w:val="00E22CDD"/>
    <w:rsid w:val="00E22DA8"/>
    <w:rsid w:val="00E2306E"/>
    <w:rsid w:val="00E23087"/>
    <w:rsid w:val="00E232D1"/>
    <w:rsid w:val="00E234BB"/>
    <w:rsid w:val="00E235CF"/>
    <w:rsid w:val="00E23770"/>
    <w:rsid w:val="00E2399D"/>
    <w:rsid w:val="00E23D2F"/>
    <w:rsid w:val="00E23F47"/>
    <w:rsid w:val="00E23F88"/>
    <w:rsid w:val="00E23FC8"/>
    <w:rsid w:val="00E24812"/>
    <w:rsid w:val="00E24939"/>
    <w:rsid w:val="00E24B33"/>
    <w:rsid w:val="00E24B97"/>
    <w:rsid w:val="00E24BEC"/>
    <w:rsid w:val="00E24C5E"/>
    <w:rsid w:val="00E24EC4"/>
    <w:rsid w:val="00E251F8"/>
    <w:rsid w:val="00E2538D"/>
    <w:rsid w:val="00E25492"/>
    <w:rsid w:val="00E25D6B"/>
    <w:rsid w:val="00E260AE"/>
    <w:rsid w:val="00E261E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A82"/>
    <w:rsid w:val="00E40C31"/>
    <w:rsid w:val="00E40C59"/>
    <w:rsid w:val="00E41033"/>
    <w:rsid w:val="00E4110E"/>
    <w:rsid w:val="00E413BD"/>
    <w:rsid w:val="00E41A0B"/>
    <w:rsid w:val="00E41BFE"/>
    <w:rsid w:val="00E41C2A"/>
    <w:rsid w:val="00E41E26"/>
    <w:rsid w:val="00E41ED5"/>
    <w:rsid w:val="00E42E81"/>
    <w:rsid w:val="00E42EAE"/>
    <w:rsid w:val="00E43000"/>
    <w:rsid w:val="00E43151"/>
    <w:rsid w:val="00E434E5"/>
    <w:rsid w:val="00E4375A"/>
    <w:rsid w:val="00E438AE"/>
    <w:rsid w:val="00E4450C"/>
    <w:rsid w:val="00E4464E"/>
    <w:rsid w:val="00E4475B"/>
    <w:rsid w:val="00E447D9"/>
    <w:rsid w:val="00E4483F"/>
    <w:rsid w:val="00E44D6D"/>
    <w:rsid w:val="00E45108"/>
    <w:rsid w:val="00E45832"/>
    <w:rsid w:val="00E458D4"/>
    <w:rsid w:val="00E4598A"/>
    <w:rsid w:val="00E45B0E"/>
    <w:rsid w:val="00E45B0F"/>
    <w:rsid w:val="00E46125"/>
    <w:rsid w:val="00E463D1"/>
    <w:rsid w:val="00E464A5"/>
    <w:rsid w:val="00E467FF"/>
    <w:rsid w:val="00E46901"/>
    <w:rsid w:val="00E46991"/>
    <w:rsid w:val="00E46C22"/>
    <w:rsid w:val="00E46C34"/>
    <w:rsid w:val="00E46D77"/>
    <w:rsid w:val="00E46F21"/>
    <w:rsid w:val="00E47040"/>
    <w:rsid w:val="00E470AB"/>
    <w:rsid w:val="00E472E9"/>
    <w:rsid w:val="00E47643"/>
    <w:rsid w:val="00E47958"/>
    <w:rsid w:val="00E47B05"/>
    <w:rsid w:val="00E47F54"/>
    <w:rsid w:val="00E50111"/>
    <w:rsid w:val="00E505F8"/>
    <w:rsid w:val="00E512FA"/>
    <w:rsid w:val="00E5148F"/>
    <w:rsid w:val="00E51CB7"/>
    <w:rsid w:val="00E51CD4"/>
    <w:rsid w:val="00E51CD8"/>
    <w:rsid w:val="00E51EC3"/>
    <w:rsid w:val="00E51EEE"/>
    <w:rsid w:val="00E5209B"/>
    <w:rsid w:val="00E5222B"/>
    <w:rsid w:val="00E52238"/>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44"/>
    <w:rsid w:val="00E619DE"/>
    <w:rsid w:val="00E61D4C"/>
    <w:rsid w:val="00E61DE6"/>
    <w:rsid w:val="00E621FF"/>
    <w:rsid w:val="00E62439"/>
    <w:rsid w:val="00E62683"/>
    <w:rsid w:val="00E62687"/>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54B"/>
    <w:rsid w:val="00E66A33"/>
    <w:rsid w:val="00E66B94"/>
    <w:rsid w:val="00E66DD8"/>
    <w:rsid w:val="00E672CD"/>
    <w:rsid w:val="00E67437"/>
    <w:rsid w:val="00E675C3"/>
    <w:rsid w:val="00E67693"/>
    <w:rsid w:val="00E67776"/>
    <w:rsid w:val="00E6795C"/>
    <w:rsid w:val="00E67F8A"/>
    <w:rsid w:val="00E7091D"/>
    <w:rsid w:val="00E713BF"/>
    <w:rsid w:val="00E715D3"/>
    <w:rsid w:val="00E71D05"/>
    <w:rsid w:val="00E71EF4"/>
    <w:rsid w:val="00E721BB"/>
    <w:rsid w:val="00E72392"/>
    <w:rsid w:val="00E726B5"/>
    <w:rsid w:val="00E72764"/>
    <w:rsid w:val="00E72898"/>
    <w:rsid w:val="00E72985"/>
    <w:rsid w:val="00E72D0D"/>
    <w:rsid w:val="00E72DD1"/>
    <w:rsid w:val="00E72F05"/>
    <w:rsid w:val="00E72F15"/>
    <w:rsid w:val="00E72F8B"/>
    <w:rsid w:val="00E73052"/>
    <w:rsid w:val="00E7311D"/>
    <w:rsid w:val="00E734DA"/>
    <w:rsid w:val="00E73501"/>
    <w:rsid w:val="00E7366D"/>
    <w:rsid w:val="00E7368B"/>
    <w:rsid w:val="00E73CA7"/>
    <w:rsid w:val="00E73E6A"/>
    <w:rsid w:val="00E73EF7"/>
    <w:rsid w:val="00E74024"/>
    <w:rsid w:val="00E74041"/>
    <w:rsid w:val="00E7409C"/>
    <w:rsid w:val="00E740E5"/>
    <w:rsid w:val="00E7424B"/>
    <w:rsid w:val="00E74700"/>
    <w:rsid w:val="00E74721"/>
    <w:rsid w:val="00E74736"/>
    <w:rsid w:val="00E74908"/>
    <w:rsid w:val="00E74A04"/>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F6"/>
    <w:rsid w:val="00E8228C"/>
    <w:rsid w:val="00E82757"/>
    <w:rsid w:val="00E828D9"/>
    <w:rsid w:val="00E82B26"/>
    <w:rsid w:val="00E830CD"/>
    <w:rsid w:val="00E831B8"/>
    <w:rsid w:val="00E832B0"/>
    <w:rsid w:val="00E832BD"/>
    <w:rsid w:val="00E83592"/>
    <w:rsid w:val="00E835CF"/>
    <w:rsid w:val="00E83770"/>
    <w:rsid w:val="00E83837"/>
    <w:rsid w:val="00E8390F"/>
    <w:rsid w:val="00E83A0F"/>
    <w:rsid w:val="00E83E9C"/>
    <w:rsid w:val="00E8402B"/>
    <w:rsid w:val="00E840D0"/>
    <w:rsid w:val="00E84201"/>
    <w:rsid w:val="00E84272"/>
    <w:rsid w:val="00E842D2"/>
    <w:rsid w:val="00E848CB"/>
    <w:rsid w:val="00E84A64"/>
    <w:rsid w:val="00E84B64"/>
    <w:rsid w:val="00E84BC9"/>
    <w:rsid w:val="00E8512F"/>
    <w:rsid w:val="00E853AA"/>
    <w:rsid w:val="00E85D56"/>
    <w:rsid w:val="00E85EAA"/>
    <w:rsid w:val="00E86126"/>
    <w:rsid w:val="00E86144"/>
    <w:rsid w:val="00E8625D"/>
    <w:rsid w:val="00E86662"/>
    <w:rsid w:val="00E86712"/>
    <w:rsid w:val="00E8673A"/>
    <w:rsid w:val="00E86AC8"/>
    <w:rsid w:val="00E86B3A"/>
    <w:rsid w:val="00E86EF6"/>
    <w:rsid w:val="00E87228"/>
    <w:rsid w:val="00E87229"/>
    <w:rsid w:val="00E8727E"/>
    <w:rsid w:val="00E87816"/>
    <w:rsid w:val="00E8782C"/>
    <w:rsid w:val="00E87DE7"/>
    <w:rsid w:val="00E9000E"/>
    <w:rsid w:val="00E900EC"/>
    <w:rsid w:val="00E90915"/>
    <w:rsid w:val="00E9099B"/>
    <w:rsid w:val="00E9121C"/>
    <w:rsid w:val="00E91A15"/>
    <w:rsid w:val="00E91D67"/>
    <w:rsid w:val="00E91D95"/>
    <w:rsid w:val="00E923F6"/>
    <w:rsid w:val="00E924CF"/>
    <w:rsid w:val="00E92AC3"/>
    <w:rsid w:val="00E92AE4"/>
    <w:rsid w:val="00E9301B"/>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B36"/>
    <w:rsid w:val="00E97B9A"/>
    <w:rsid w:val="00E97D7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67"/>
    <w:rsid w:val="00EA6FE7"/>
    <w:rsid w:val="00EA7276"/>
    <w:rsid w:val="00EA73EB"/>
    <w:rsid w:val="00EA7440"/>
    <w:rsid w:val="00EA7834"/>
    <w:rsid w:val="00EA7D28"/>
    <w:rsid w:val="00EA7E98"/>
    <w:rsid w:val="00EB0896"/>
    <w:rsid w:val="00EB0E79"/>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3E10"/>
    <w:rsid w:val="00EB3E31"/>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554"/>
    <w:rsid w:val="00EB6615"/>
    <w:rsid w:val="00EB6718"/>
    <w:rsid w:val="00EB6935"/>
    <w:rsid w:val="00EB6A9C"/>
    <w:rsid w:val="00EB6ABA"/>
    <w:rsid w:val="00EB6AEC"/>
    <w:rsid w:val="00EB6D42"/>
    <w:rsid w:val="00EB6E88"/>
    <w:rsid w:val="00EB6F49"/>
    <w:rsid w:val="00EB7134"/>
    <w:rsid w:val="00EB7192"/>
    <w:rsid w:val="00EB71B9"/>
    <w:rsid w:val="00EB7317"/>
    <w:rsid w:val="00EB7718"/>
    <w:rsid w:val="00EB78CB"/>
    <w:rsid w:val="00EB79B8"/>
    <w:rsid w:val="00EB7B0F"/>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385"/>
    <w:rsid w:val="00EC5411"/>
    <w:rsid w:val="00EC5581"/>
    <w:rsid w:val="00EC57CA"/>
    <w:rsid w:val="00EC6055"/>
    <w:rsid w:val="00EC6747"/>
    <w:rsid w:val="00EC676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97"/>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5DD0"/>
    <w:rsid w:val="00ED619C"/>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1E4E"/>
    <w:rsid w:val="00EE2AEC"/>
    <w:rsid w:val="00EE3A5C"/>
    <w:rsid w:val="00EE3CB5"/>
    <w:rsid w:val="00EE3F8A"/>
    <w:rsid w:val="00EE42C6"/>
    <w:rsid w:val="00EE44B2"/>
    <w:rsid w:val="00EE44EB"/>
    <w:rsid w:val="00EE474B"/>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D02"/>
    <w:rsid w:val="00EF1EF8"/>
    <w:rsid w:val="00EF20ED"/>
    <w:rsid w:val="00EF2684"/>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B1E"/>
    <w:rsid w:val="00EF5B2E"/>
    <w:rsid w:val="00EF5C58"/>
    <w:rsid w:val="00EF5D7F"/>
    <w:rsid w:val="00EF5D8A"/>
    <w:rsid w:val="00EF6474"/>
    <w:rsid w:val="00EF66E3"/>
    <w:rsid w:val="00EF681B"/>
    <w:rsid w:val="00EF68DA"/>
    <w:rsid w:val="00EF6929"/>
    <w:rsid w:val="00EF78F8"/>
    <w:rsid w:val="00EF7BD2"/>
    <w:rsid w:val="00EF7E8B"/>
    <w:rsid w:val="00F00245"/>
    <w:rsid w:val="00F0044E"/>
    <w:rsid w:val="00F005C6"/>
    <w:rsid w:val="00F0088F"/>
    <w:rsid w:val="00F0095A"/>
    <w:rsid w:val="00F0096D"/>
    <w:rsid w:val="00F00CC2"/>
    <w:rsid w:val="00F00EB1"/>
    <w:rsid w:val="00F012AA"/>
    <w:rsid w:val="00F012FE"/>
    <w:rsid w:val="00F01565"/>
    <w:rsid w:val="00F01633"/>
    <w:rsid w:val="00F017C5"/>
    <w:rsid w:val="00F01F30"/>
    <w:rsid w:val="00F01FC3"/>
    <w:rsid w:val="00F02183"/>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22"/>
    <w:rsid w:val="00F215AD"/>
    <w:rsid w:val="00F21A35"/>
    <w:rsid w:val="00F22083"/>
    <w:rsid w:val="00F223FC"/>
    <w:rsid w:val="00F224B1"/>
    <w:rsid w:val="00F224BA"/>
    <w:rsid w:val="00F2255D"/>
    <w:rsid w:val="00F228FB"/>
    <w:rsid w:val="00F22A56"/>
    <w:rsid w:val="00F22CAD"/>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9BF"/>
    <w:rsid w:val="00F25B75"/>
    <w:rsid w:val="00F261C3"/>
    <w:rsid w:val="00F262F9"/>
    <w:rsid w:val="00F2664A"/>
    <w:rsid w:val="00F26A52"/>
    <w:rsid w:val="00F26E9E"/>
    <w:rsid w:val="00F2758A"/>
    <w:rsid w:val="00F2792C"/>
    <w:rsid w:val="00F27AA2"/>
    <w:rsid w:val="00F27AC7"/>
    <w:rsid w:val="00F30314"/>
    <w:rsid w:val="00F308D7"/>
    <w:rsid w:val="00F30A69"/>
    <w:rsid w:val="00F30B06"/>
    <w:rsid w:val="00F31256"/>
    <w:rsid w:val="00F31793"/>
    <w:rsid w:val="00F318A7"/>
    <w:rsid w:val="00F31C12"/>
    <w:rsid w:val="00F31C57"/>
    <w:rsid w:val="00F31E8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D9F"/>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30BA"/>
    <w:rsid w:val="00F430DC"/>
    <w:rsid w:val="00F43166"/>
    <w:rsid w:val="00F432BA"/>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50109"/>
    <w:rsid w:val="00F5025B"/>
    <w:rsid w:val="00F506C6"/>
    <w:rsid w:val="00F50A5C"/>
    <w:rsid w:val="00F50D7C"/>
    <w:rsid w:val="00F51393"/>
    <w:rsid w:val="00F51BCE"/>
    <w:rsid w:val="00F51BF4"/>
    <w:rsid w:val="00F51E85"/>
    <w:rsid w:val="00F521AF"/>
    <w:rsid w:val="00F5221A"/>
    <w:rsid w:val="00F52407"/>
    <w:rsid w:val="00F5276F"/>
    <w:rsid w:val="00F527DD"/>
    <w:rsid w:val="00F52B51"/>
    <w:rsid w:val="00F52CC9"/>
    <w:rsid w:val="00F52E24"/>
    <w:rsid w:val="00F53170"/>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208A"/>
    <w:rsid w:val="00F625EB"/>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90"/>
    <w:rsid w:val="00F65EDB"/>
    <w:rsid w:val="00F65F0F"/>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943"/>
    <w:rsid w:val="00F70A5B"/>
    <w:rsid w:val="00F70C4B"/>
    <w:rsid w:val="00F70D00"/>
    <w:rsid w:val="00F71055"/>
    <w:rsid w:val="00F715F0"/>
    <w:rsid w:val="00F718D4"/>
    <w:rsid w:val="00F71976"/>
    <w:rsid w:val="00F71ABB"/>
    <w:rsid w:val="00F71B5A"/>
    <w:rsid w:val="00F71C39"/>
    <w:rsid w:val="00F71D18"/>
    <w:rsid w:val="00F71D1F"/>
    <w:rsid w:val="00F71F59"/>
    <w:rsid w:val="00F720A2"/>
    <w:rsid w:val="00F723B8"/>
    <w:rsid w:val="00F7259B"/>
    <w:rsid w:val="00F727EB"/>
    <w:rsid w:val="00F72B7A"/>
    <w:rsid w:val="00F73075"/>
    <w:rsid w:val="00F73461"/>
    <w:rsid w:val="00F736B6"/>
    <w:rsid w:val="00F736D2"/>
    <w:rsid w:val="00F73902"/>
    <w:rsid w:val="00F73B5F"/>
    <w:rsid w:val="00F73F2D"/>
    <w:rsid w:val="00F7477A"/>
    <w:rsid w:val="00F747D6"/>
    <w:rsid w:val="00F74877"/>
    <w:rsid w:val="00F74ADE"/>
    <w:rsid w:val="00F74BB2"/>
    <w:rsid w:val="00F74FB2"/>
    <w:rsid w:val="00F753D6"/>
    <w:rsid w:val="00F753F5"/>
    <w:rsid w:val="00F75612"/>
    <w:rsid w:val="00F7566C"/>
    <w:rsid w:val="00F756B5"/>
    <w:rsid w:val="00F759E9"/>
    <w:rsid w:val="00F75AB7"/>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8A"/>
    <w:rsid w:val="00F77D90"/>
    <w:rsid w:val="00F8022F"/>
    <w:rsid w:val="00F80535"/>
    <w:rsid w:val="00F80876"/>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530"/>
    <w:rsid w:val="00F868FE"/>
    <w:rsid w:val="00F86C72"/>
    <w:rsid w:val="00F86D8B"/>
    <w:rsid w:val="00F86DA0"/>
    <w:rsid w:val="00F86E16"/>
    <w:rsid w:val="00F870D8"/>
    <w:rsid w:val="00F874E8"/>
    <w:rsid w:val="00F876E7"/>
    <w:rsid w:val="00F8774E"/>
    <w:rsid w:val="00F877E9"/>
    <w:rsid w:val="00F87982"/>
    <w:rsid w:val="00F87F22"/>
    <w:rsid w:val="00F9011F"/>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401"/>
    <w:rsid w:val="00F9242C"/>
    <w:rsid w:val="00F929CE"/>
    <w:rsid w:val="00F92AAA"/>
    <w:rsid w:val="00F930DB"/>
    <w:rsid w:val="00F937CD"/>
    <w:rsid w:val="00F9392A"/>
    <w:rsid w:val="00F93BB2"/>
    <w:rsid w:val="00F93CD7"/>
    <w:rsid w:val="00F93FDB"/>
    <w:rsid w:val="00F94284"/>
    <w:rsid w:val="00F944BD"/>
    <w:rsid w:val="00F944D0"/>
    <w:rsid w:val="00F94826"/>
    <w:rsid w:val="00F949E2"/>
    <w:rsid w:val="00F94E77"/>
    <w:rsid w:val="00F94F31"/>
    <w:rsid w:val="00F9525D"/>
    <w:rsid w:val="00F95B1E"/>
    <w:rsid w:val="00F95D04"/>
    <w:rsid w:val="00F95E5A"/>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A85"/>
    <w:rsid w:val="00FA1129"/>
    <w:rsid w:val="00FA168C"/>
    <w:rsid w:val="00FA1D4F"/>
    <w:rsid w:val="00FA270C"/>
    <w:rsid w:val="00FA2ADC"/>
    <w:rsid w:val="00FA2BAA"/>
    <w:rsid w:val="00FA2BAB"/>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D88"/>
    <w:rsid w:val="00FB1F57"/>
    <w:rsid w:val="00FB20D1"/>
    <w:rsid w:val="00FB210A"/>
    <w:rsid w:val="00FB213E"/>
    <w:rsid w:val="00FB26AF"/>
    <w:rsid w:val="00FB278F"/>
    <w:rsid w:val="00FB2C27"/>
    <w:rsid w:val="00FB2E56"/>
    <w:rsid w:val="00FB322F"/>
    <w:rsid w:val="00FB3627"/>
    <w:rsid w:val="00FB36C0"/>
    <w:rsid w:val="00FB3B7A"/>
    <w:rsid w:val="00FB4067"/>
    <w:rsid w:val="00FB444C"/>
    <w:rsid w:val="00FB4497"/>
    <w:rsid w:val="00FB45D3"/>
    <w:rsid w:val="00FB48BC"/>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1B1"/>
    <w:rsid w:val="00FD2244"/>
    <w:rsid w:val="00FD224D"/>
    <w:rsid w:val="00FD29DE"/>
    <w:rsid w:val="00FD2A48"/>
    <w:rsid w:val="00FD2A81"/>
    <w:rsid w:val="00FD2AD8"/>
    <w:rsid w:val="00FD2B1F"/>
    <w:rsid w:val="00FD2C2A"/>
    <w:rsid w:val="00FD2CFC"/>
    <w:rsid w:val="00FD2DD2"/>
    <w:rsid w:val="00FD2E8D"/>
    <w:rsid w:val="00FD34EC"/>
    <w:rsid w:val="00FD370D"/>
    <w:rsid w:val="00FD3B28"/>
    <w:rsid w:val="00FD3B55"/>
    <w:rsid w:val="00FD437B"/>
    <w:rsid w:val="00FD49D3"/>
    <w:rsid w:val="00FD4BB3"/>
    <w:rsid w:val="00FD4EF4"/>
    <w:rsid w:val="00FD53D9"/>
    <w:rsid w:val="00FD574C"/>
    <w:rsid w:val="00FD5A50"/>
    <w:rsid w:val="00FD60A4"/>
    <w:rsid w:val="00FD63E7"/>
    <w:rsid w:val="00FD6E77"/>
    <w:rsid w:val="00FD71B9"/>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497"/>
    <w:rsid w:val="00FE69C1"/>
    <w:rsid w:val="00FE6C7B"/>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FC1"/>
    <w:rsid w:val="00FF46E1"/>
    <w:rsid w:val="00FF5216"/>
    <w:rsid w:val="00FF5520"/>
    <w:rsid w:val="00FF554A"/>
    <w:rsid w:val="00FF59ED"/>
    <w:rsid w:val="00FF5B38"/>
    <w:rsid w:val="00FF62A7"/>
    <w:rsid w:val="00FF6784"/>
    <w:rsid w:val="00FF678F"/>
    <w:rsid w:val="00FF721C"/>
    <w:rsid w:val="00FF7362"/>
    <w:rsid w:val="00FF782D"/>
    <w:rsid w:val="00FF7893"/>
    <w:rsid w:val="00FF7A30"/>
    <w:rsid w:val="00FF7BA1"/>
    <w:rsid w:val="00FF7CEE"/>
    <w:rsid w:val="00FF7D22"/>
    <w:rsid w:val="01180B9B"/>
    <w:rsid w:val="01280BF3"/>
    <w:rsid w:val="012B3030"/>
    <w:rsid w:val="013D6F71"/>
    <w:rsid w:val="014C6490"/>
    <w:rsid w:val="015F06F1"/>
    <w:rsid w:val="015F734B"/>
    <w:rsid w:val="01636D41"/>
    <w:rsid w:val="01651E70"/>
    <w:rsid w:val="01695898"/>
    <w:rsid w:val="016C0A1F"/>
    <w:rsid w:val="01767F6C"/>
    <w:rsid w:val="01780E1F"/>
    <w:rsid w:val="018C705C"/>
    <w:rsid w:val="01963534"/>
    <w:rsid w:val="019863D8"/>
    <w:rsid w:val="01AD105E"/>
    <w:rsid w:val="01B85CFE"/>
    <w:rsid w:val="01DB78E1"/>
    <w:rsid w:val="01E564E4"/>
    <w:rsid w:val="01E63A9C"/>
    <w:rsid w:val="01EC5904"/>
    <w:rsid w:val="01F6255D"/>
    <w:rsid w:val="020B64C6"/>
    <w:rsid w:val="0210087D"/>
    <w:rsid w:val="024922D4"/>
    <w:rsid w:val="0254496F"/>
    <w:rsid w:val="02590ECE"/>
    <w:rsid w:val="025C60B9"/>
    <w:rsid w:val="025D0483"/>
    <w:rsid w:val="025F60B4"/>
    <w:rsid w:val="0263075E"/>
    <w:rsid w:val="027E37F5"/>
    <w:rsid w:val="02816A16"/>
    <w:rsid w:val="02834499"/>
    <w:rsid w:val="02892D0F"/>
    <w:rsid w:val="02911C0E"/>
    <w:rsid w:val="02B23334"/>
    <w:rsid w:val="02C34D3B"/>
    <w:rsid w:val="02CB318E"/>
    <w:rsid w:val="02E60F49"/>
    <w:rsid w:val="02F75AF2"/>
    <w:rsid w:val="02FA772F"/>
    <w:rsid w:val="030628EF"/>
    <w:rsid w:val="031D29F5"/>
    <w:rsid w:val="032979AF"/>
    <w:rsid w:val="033624DF"/>
    <w:rsid w:val="034F03FF"/>
    <w:rsid w:val="035167FE"/>
    <w:rsid w:val="03574F65"/>
    <w:rsid w:val="035A17B2"/>
    <w:rsid w:val="0364021E"/>
    <w:rsid w:val="03663A2A"/>
    <w:rsid w:val="03705764"/>
    <w:rsid w:val="03736763"/>
    <w:rsid w:val="038A570F"/>
    <w:rsid w:val="039E490B"/>
    <w:rsid w:val="03A06A49"/>
    <w:rsid w:val="03A2514F"/>
    <w:rsid w:val="03A66738"/>
    <w:rsid w:val="03AD28EF"/>
    <w:rsid w:val="03AD2B09"/>
    <w:rsid w:val="03C551FF"/>
    <w:rsid w:val="03C62B27"/>
    <w:rsid w:val="03CA4BC5"/>
    <w:rsid w:val="03CD42FF"/>
    <w:rsid w:val="03D0372E"/>
    <w:rsid w:val="03D05425"/>
    <w:rsid w:val="03DC5842"/>
    <w:rsid w:val="03E80493"/>
    <w:rsid w:val="03E85B99"/>
    <w:rsid w:val="03EA1CFF"/>
    <w:rsid w:val="03ED1A58"/>
    <w:rsid w:val="03EF11E1"/>
    <w:rsid w:val="03F25073"/>
    <w:rsid w:val="0407149F"/>
    <w:rsid w:val="040B72AA"/>
    <w:rsid w:val="04107DDA"/>
    <w:rsid w:val="04222EF0"/>
    <w:rsid w:val="04251C2B"/>
    <w:rsid w:val="04281C7E"/>
    <w:rsid w:val="042827BF"/>
    <w:rsid w:val="04350065"/>
    <w:rsid w:val="04364352"/>
    <w:rsid w:val="043B4BBE"/>
    <w:rsid w:val="044C49F9"/>
    <w:rsid w:val="04861C43"/>
    <w:rsid w:val="04891255"/>
    <w:rsid w:val="048B728A"/>
    <w:rsid w:val="049A6A66"/>
    <w:rsid w:val="04A32EBA"/>
    <w:rsid w:val="04AC35F7"/>
    <w:rsid w:val="04AC52FB"/>
    <w:rsid w:val="04AF26AA"/>
    <w:rsid w:val="04B42B59"/>
    <w:rsid w:val="04BE11AE"/>
    <w:rsid w:val="04CF3F94"/>
    <w:rsid w:val="04DF01BD"/>
    <w:rsid w:val="04E26543"/>
    <w:rsid w:val="051103B4"/>
    <w:rsid w:val="051B5F92"/>
    <w:rsid w:val="052A14E7"/>
    <w:rsid w:val="052A64E9"/>
    <w:rsid w:val="053A1C6F"/>
    <w:rsid w:val="056A14EF"/>
    <w:rsid w:val="057E01D9"/>
    <w:rsid w:val="058224DD"/>
    <w:rsid w:val="05955E24"/>
    <w:rsid w:val="05A279D2"/>
    <w:rsid w:val="05A56BB5"/>
    <w:rsid w:val="05CA4822"/>
    <w:rsid w:val="05CC1FD8"/>
    <w:rsid w:val="05CF0362"/>
    <w:rsid w:val="05D10E9A"/>
    <w:rsid w:val="05D32D84"/>
    <w:rsid w:val="05D7661F"/>
    <w:rsid w:val="05DC59BB"/>
    <w:rsid w:val="05E26AB9"/>
    <w:rsid w:val="05E775FB"/>
    <w:rsid w:val="05FC1701"/>
    <w:rsid w:val="060E3A4E"/>
    <w:rsid w:val="062D0004"/>
    <w:rsid w:val="063A4316"/>
    <w:rsid w:val="063F3A35"/>
    <w:rsid w:val="06625EB3"/>
    <w:rsid w:val="066D797B"/>
    <w:rsid w:val="06811C9D"/>
    <w:rsid w:val="06842305"/>
    <w:rsid w:val="0685217E"/>
    <w:rsid w:val="068B1A17"/>
    <w:rsid w:val="06926190"/>
    <w:rsid w:val="069E5179"/>
    <w:rsid w:val="06A27BF1"/>
    <w:rsid w:val="06A966F0"/>
    <w:rsid w:val="06AF2B54"/>
    <w:rsid w:val="06CD5F42"/>
    <w:rsid w:val="06D24771"/>
    <w:rsid w:val="06D626BD"/>
    <w:rsid w:val="06F4563B"/>
    <w:rsid w:val="06FA06F9"/>
    <w:rsid w:val="070263EC"/>
    <w:rsid w:val="070265EF"/>
    <w:rsid w:val="07086832"/>
    <w:rsid w:val="070F23E9"/>
    <w:rsid w:val="07313446"/>
    <w:rsid w:val="07394384"/>
    <w:rsid w:val="07400E52"/>
    <w:rsid w:val="07457F2F"/>
    <w:rsid w:val="07482EEB"/>
    <w:rsid w:val="074B2FE2"/>
    <w:rsid w:val="07663B0C"/>
    <w:rsid w:val="076765E4"/>
    <w:rsid w:val="07700142"/>
    <w:rsid w:val="078A2B93"/>
    <w:rsid w:val="07961FBF"/>
    <w:rsid w:val="079A0A61"/>
    <w:rsid w:val="079D21B1"/>
    <w:rsid w:val="07C44C77"/>
    <w:rsid w:val="07C90E92"/>
    <w:rsid w:val="07E227F9"/>
    <w:rsid w:val="07F22C33"/>
    <w:rsid w:val="07F247A2"/>
    <w:rsid w:val="07F3763F"/>
    <w:rsid w:val="07F74126"/>
    <w:rsid w:val="07FE1CA4"/>
    <w:rsid w:val="08190451"/>
    <w:rsid w:val="081A2BDD"/>
    <w:rsid w:val="08285EAC"/>
    <w:rsid w:val="0837062F"/>
    <w:rsid w:val="083F0B6F"/>
    <w:rsid w:val="084954D6"/>
    <w:rsid w:val="084B6C81"/>
    <w:rsid w:val="084F40CE"/>
    <w:rsid w:val="08587564"/>
    <w:rsid w:val="086A13BD"/>
    <w:rsid w:val="086C7CD8"/>
    <w:rsid w:val="087D5321"/>
    <w:rsid w:val="08805EFE"/>
    <w:rsid w:val="089C541C"/>
    <w:rsid w:val="08A12D8B"/>
    <w:rsid w:val="08A1519A"/>
    <w:rsid w:val="08A32ED8"/>
    <w:rsid w:val="08A807EF"/>
    <w:rsid w:val="08AD7352"/>
    <w:rsid w:val="08B10C46"/>
    <w:rsid w:val="08CF26D9"/>
    <w:rsid w:val="08CF5DD6"/>
    <w:rsid w:val="08D649BB"/>
    <w:rsid w:val="08E14ED5"/>
    <w:rsid w:val="08EC080A"/>
    <w:rsid w:val="08EF3AF5"/>
    <w:rsid w:val="08FC454D"/>
    <w:rsid w:val="08FC76CC"/>
    <w:rsid w:val="090E43AD"/>
    <w:rsid w:val="0921664D"/>
    <w:rsid w:val="092267A1"/>
    <w:rsid w:val="093352C8"/>
    <w:rsid w:val="09355A5A"/>
    <w:rsid w:val="094A3425"/>
    <w:rsid w:val="094B3478"/>
    <w:rsid w:val="09521F45"/>
    <w:rsid w:val="09647A07"/>
    <w:rsid w:val="096C61CD"/>
    <w:rsid w:val="09707D56"/>
    <w:rsid w:val="09915FE2"/>
    <w:rsid w:val="09973371"/>
    <w:rsid w:val="099F1B36"/>
    <w:rsid w:val="09A04D3F"/>
    <w:rsid w:val="09A50D41"/>
    <w:rsid w:val="09A63558"/>
    <w:rsid w:val="09A72A18"/>
    <w:rsid w:val="09C95166"/>
    <w:rsid w:val="09DE297E"/>
    <w:rsid w:val="09F01539"/>
    <w:rsid w:val="0A057456"/>
    <w:rsid w:val="0A257554"/>
    <w:rsid w:val="0A340D57"/>
    <w:rsid w:val="0A3D3F5A"/>
    <w:rsid w:val="0A4050DC"/>
    <w:rsid w:val="0A5E54BB"/>
    <w:rsid w:val="0AAB733F"/>
    <w:rsid w:val="0AB61A46"/>
    <w:rsid w:val="0ABA06F0"/>
    <w:rsid w:val="0ABE7BB8"/>
    <w:rsid w:val="0AC42A22"/>
    <w:rsid w:val="0AC43612"/>
    <w:rsid w:val="0ADE1ED0"/>
    <w:rsid w:val="0AE27C3A"/>
    <w:rsid w:val="0AE852E5"/>
    <w:rsid w:val="0AFF5746"/>
    <w:rsid w:val="0B0E7577"/>
    <w:rsid w:val="0B1105A4"/>
    <w:rsid w:val="0B1F1B8F"/>
    <w:rsid w:val="0B261605"/>
    <w:rsid w:val="0B33375E"/>
    <w:rsid w:val="0B3D1F00"/>
    <w:rsid w:val="0B3D6687"/>
    <w:rsid w:val="0B5267B5"/>
    <w:rsid w:val="0B6428CF"/>
    <w:rsid w:val="0B75008B"/>
    <w:rsid w:val="0B78261E"/>
    <w:rsid w:val="0B7A16F5"/>
    <w:rsid w:val="0B7D3E3B"/>
    <w:rsid w:val="0B8020AE"/>
    <w:rsid w:val="0BA00657"/>
    <w:rsid w:val="0BAE3EB4"/>
    <w:rsid w:val="0BC74117"/>
    <w:rsid w:val="0BCB58F1"/>
    <w:rsid w:val="0BCF4FC3"/>
    <w:rsid w:val="0BE80418"/>
    <w:rsid w:val="0BE8145A"/>
    <w:rsid w:val="0BED6EA5"/>
    <w:rsid w:val="0BF52A54"/>
    <w:rsid w:val="0BFC77DA"/>
    <w:rsid w:val="0BFE7534"/>
    <w:rsid w:val="0C1B5751"/>
    <w:rsid w:val="0C1C16ED"/>
    <w:rsid w:val="0C300595"/>
    <w:rsid w:val="0C315A08"/>
    <w:rsid w:val="0C3770F5"/>
    <w:rsid w:val="0C3B4847"/>
    <w:rsid w:val="0C490551"/>
    <w:rsid w:val="0C4F4745"/>
    <w:rsid w:val="0C55338F"/>
    <w:rsid w:val="0C7E6BBF"/>
    <w:rsid w:val="0C9F7471"/>
    <w:rsid w:val="0CB30221"/>
    <w:rsid w:val="0CB33DF8"/>
    <w:rsid w:val="0CD957AA"/>
    <w:rsid w:val="0CE3672B"/>
    <w:rsid w:val="0CE71BA9"/>
    <w:rsid w:val="0CEE1332"/>
    <w:rsid w:val="0D0F6AA5"/>
    <w:rsid w:val="0D11788B"/>
    <w:rsid w:val="0D1727FB"/>
    <w:rsid w:val="0D190D03"/>
    <w:rsid w:val="0D2D4521"/>
    <w:rsid w:val="0D322DAB"/>
    <w:rsid w:val="0D330150"/>
    <w:rsid w:val="0D3825BE"/>
    <w:rsid w:val="0D652B72"/>
    <w:rsid w:val="0D704C8F"/>
    <w:rsid w:val="0D710F51"/>
    <w:rsid w:val="0D7466F5"/>
    <w:rsid w:val="0D8317C5"/>
    <w:rsid w:val="0D8F5055"/>
    <w:rsid w:val="0DA05989"/>
    <w:rsid w:val="0DBA058B"/>
    <w:rsid w:val="0DF144F2"/>
    <w:rsid w:val="0DF153A1"/>
    <w:rsid w:val="0DF363EA"/>
    <w:rsid w:val="0DF501D1"/>
    <w:rsid w:val="0E02670A"/>
    <w:rsid w:val="0E0D21D0"/>
    <w:rsid w:val="0E0F040B"/>
    <w:rsid w:val="0E19514C"/>
    <w:rsid w:val="0E21445D"/>
    <w:rsid w:val="0E514607"/>
    <w:rsid w:val="0E595800"/>
    <w:rsid w:val="0E5D72AF"/>
    <w:rsid w:val="0E640EEC"/>
    <w:rsid w:val="0E646C4C"/>
    <w:rsid w:val="0E655187"/>
    <w:rsid w:val="0E792BCB"/>
    <w:rsid w:val="0E81441A"/>
    <w:rsid w:val="0E817C0D"/>
    <w:rsid w:val="0EA13C56"/>
    <w:rsid w:val="0EAA7CFD"/>
    <w:rsid w:val="0EAE3E2D"/>
    <w:rsid w:val="0EB318DE"/>
    <w:rsid w:val="0EC23165"/>
    <w:rsid w:val="0EC4122E"/>
    <w:rsid w:val="0ECD5EBA"/>
    <w:rsid w:val="0ED96555"/>
    <w:rsid w:val="0EDC64AF"/>
    <w:rsid w:val="0F156B37"/>
    <w:rsid w:val="0F3149D0"/>
    <w:rsid w:val="0F3379C5"/>
    <w:rsid w:val="0F446DA2"/>
    <w:rsid w:val="0F7859C0"/>
    <w:rsid w:val="0F7B0F67"/>
    <w:rsid w:val="0F7E3CF6"/>
    <w:rsid w:val="0F8B64A8"/>
    <w:rsid w:val="0F8B6A7D"/>
    <w:rsid w:val="0FA14DC3"/>
    <w:rsid w:val="0FA51830"/>
    <w:rsid w:val="0FBC3F09"/>
    <w:rsid w:val="0FC6018D"/>
    <w:rsid w:val="0FCE732A"/>
    <w:rsid w:val="0FD53CC0"/>
    <w:rsid w:val="0FD702FB"/>
    <w:rsid w:val="0FFC0E88"/>
    <w:rsid w:val="101236D8"/>
    <w:rsid w:val="101A1193"/>
    <w:rsid w:val="10241F33"/>
    <w:rsid w:val="102A4A5B"/>
    <w:rsid w:val="102E4206"/>
    <w:rsid w:val="103447BE"/>
    <w:rsid w:val="10611403"/>
    <w:rsid w:val="107113A6"/>
    <w:rsid w:val="107639F8"/>
    <w:rsid w:val="10797D1C"/>
    <w:rsid w:val="10A512A0"/>
    <w:rsid w:val="10AE0EDE"/>
    <w:rsid w:val="10B0306B"/>
    <w:rsid w:val="10B40C3F"/>
    <w:rsid w:val="10C2345A"/>
    <w:rsid w:val="10D841BB"/>
    <w:rsid w:val="10DA1C55"/>
    <w:rsid w:val="10E04069"/>
    <w:rsid w:val="10F84FB6"/>
    <w:rsid w:val="10FA1BF0"/>
    <w:rsid w:val="10FE148A"/>
    <w:rsid w:val="110932AA"/>
    <w:rsid w:val="110C723D"/>
    <w:rsid w:val="11122F2D"/>
    <w:rsid w:val="11303E23"/>
    <w:rsid w:val="11345BB0"/>
    <w:rsid w:val="114F16D2"/>
    <w:rsid w:val="114F30A9"/>
    <w:rsid w:val="11683084"/>
    <w:rsid w:val="116E210B"/>
    <w:rsid w:val="116F3D7B"/>
    <w:rsid w:val="1182106E"/>
    <w:rsid w:val="11984B39"/>
    <w:rsid w:val="11B53347"/>
    <w:rsid w:val="11BB08CD"/>
    <w:rsid w:val="11BC7F5C"/>
    <w:rsid w:val="11CD595B"/>
    <w:rsid w:val="11CE6176"/>
    <w:rsid w:val="11E46F2F"/>
    <w:rsid w:val="11FE4208"/>
    <w:rsid w:val="11FE4DF6"/>
    <w:rsid w:val="122D0E4A"/>
    <w:rsid w:val="126A4519"/>
    <w:rsid w:val="127C7DA9"/>
    <w:rsid w:val="12AF45B4"/>
    <w:rsid w:val="12B05001"/>
    <w:rsid w:val="12C3624E"/>
    <w:rsid w:val="12C613CA"/>
    <w:rsid w:val="12C624BE"/>
    <w:rsid w:val="12C67CAA"/>
    <w:rsid w:val="12E26A09"/>
    <w:rsid w:val="12F667CD"/>
    <w:rsid w:val="12FD367F"/>
    <w:rsid w:val="13055E8B"/>
    <w:rsid w:val="131C4BE9"/>
    <w:rsid w:val="131F06D9"/>
    <w:rsid w:val="13251A5C"/>
    <w:rsid w:val="13433002"/>
    <w:rsid w:val="134D0C34"/>
    <w:rsid w:val="134E4423"/>
    <w:rsid w:val="1353753C"/>
    <w:rsid w:val="1359437E"/>
    <w:rsid w:val="136179A6"/>
    <w:rsid w:val="1369663C"/>
    <w:rsid w:val="137C5854"/>
    <w:rsid w:val="137E02B6"/>
    <w:rsid w:val="13AC6771"/>
    <w:rsid w:val="13B645D6"/>
    <w:rsid w:val="13BA460E"/>
    <w:rsid w:val="13C11F8B"/>
    <w:rsid w:val="13C63EDD"/>
    <w:rsid w:val="13E53292"/>
    <w:rsid w:val="13F5754B"/>
    <w:rsid w:val="14133404"/>
    <w:rsid w:val="141662D5"/>
    <w:rsid w:val="14173183"/>
    <w:rsid w:val="14275812"/>
    <w:rsid w:val="143760E2"/>
    <w:rsid w:val="144641F5"/>
    <w:rsid w:val="1447424D"/>
    <w:rsid w:val="14526B1D"/>
    <w:rsid w:val="145E5731"/>
    <w:rsid w:val="146D6A31"/>
    <w:rsid w:val="148422F7"/>
    <w:rsid w:val="14916F28"/>
    <w:rsid w:val="14921624"/>
    <w:rsid w:val="14AA358A"/>
    <w:rsid w:val="14D577BC"/>
    <w:rsid w:val="14D857BE"/>
    <w:rsid w:val="14DF1E12"/>
    <w:rsid w:val="14F17C95"/>
    <w:rsid w:val="14F21BB5"/>
    <w:rsid w:val="14FA341F"/>
    <w:rsid w:val="15064C7B"/>
    <w:rsid w:val="15125F0F"/>
    <w:rsid w:val="1514212E"/>
    <w:rsid w:val="152E7D4A"/>
    <w:rsid w:val="153932B2"/>
    <w:rsid w:val="15421FF3"/>
    <w:rsid w:val="154A75DD"/>
    <w:rsid w:val="154C60B5"/>
    <w:rsid w:val="154F724C"/>
    <w:rsid w:val="155E63CC"/>
    <w:rsid w:val="15602D63"/>
    <w:rsid w:val="1560760B"/>
    <w:rsid w:val="156F2065"/>
    <w:rsid w:val="15723159"/>
    <w:rsid w:val="158039D1"/>
    <w:rsid w:val="158234C3"/>
    <w:rsid w:val="15963DC8"/>
    <w:rsid w:val="15B27B58"/>
    <w:rsid w:val="15BD1CB8"/>
    <w:rsid w:val="15C2442B"/>
    <w:rsid w:val="15C70A44"/>
    <w:rsid w:val="15DE16FF"/>
    <w:rsid w:val="15F30912"/>
    <w:rsid w:val="15F47171"/>
    <w:rsid w:val="15F7796F"/>
    <w:rsid w:val="15FF2640"/>
    <w:rsid w:val="15FF5EF9"/>
    <w:rsid w:val="1602232A"/>
    <w:rsid w:val="1607316E"/>
    <w:rsid w:val="160C61AA"/>
    <w:rsid w:val="160C6AAA"/>
    <w:rsid w:val="16136961"/>
    <w:rsid w:val="16281E46"/>
    <w:rsid w:val="1640665E"/>
    <w:rsid w:val="164D5FD4"/>
    <w:rsid w:val="165607D3"/>
    <w:rsid w:val="165E78B2"/>
    <w:rsid w:val="16645125"/>
    <w:rsid w:val="166B1337"/>
    <w:rsid w:val="166C0113"/>
    <w:rsid w:val="16824DF7"/>
    <w:rsid w:val="168C4FF2"/>
    <w:rsid w:val="16BE39E9"/>
    <w:rsid w:val="16D5549C"/>
    <w:rsid w:val="16E01545"/>
    <w:rsid w:val="16E11346"/>
    <w:rsid w:val="16F97BDE"/>
    <w:rsid w:val="17054D2B"/>
    <w:rsid w:val="17172689"/>
    <w:rsid w:val="172D4505"/>
    <w:rsid w:val="1739698C"/>
    <w:rsid w:val="174A616B"/>
    <w:rsid w:val="1754248F"/>
    <w:rsid w:val="1755210E"/>
    <w:rsid w:val="17673DA9"/>
    <w:rsid w:val="177B3BA5"/>
    <w:rsid w:val="1793547F"/>
    <w:rsid w:val="179633BE"/>
    <w:rsid w:val="17A25B84"/>
    <w:rsid w:val="17AA7DD5"/>
    <w:rsid w:val="17AC24B0"/>
    <w:rsid w:val="17C20E1B"/>
    <w:rsid w:val="17CE4992"/>
    <w:rsid w:val="17D80A06"/>
    <w:rsid w:val="17DE446A"/>
    <w:rsid w:val="17ED1602"/>
    <w:rsid w:val="17F322B2"/>
    <w:rsid w:val="17F742B6"/>
    <w:rsid w:val="17F97A0F"/>
    <w:rsid w:val="180B67D5"/>
    <w:rsid w:val="18136E70"/>
    <w:rsid w:val="181C5228"/>
    <w:rsid w:val="18226EDE"/>
    <w:rsid w:val="18534C5C"/>
    <w:rsid w:val="185433BD"/>
    <w:rsid w:val="18573F79"/>
    <w:rsid w:val="18592742"/>
    <w:rsid w:val="1865608A"/>
    <w:rsid w:val="186F4FB5"/>
    <w:rsid w:val="188105E3"/>
    <w:rsid w:val="189D247A"/>
    <w:rsid w:val="189E77FE"/>
    <w:rsid w:val="18AB1068"/>
    <w:rsid w:val="18B8291A"/>
    <w:rsid w:val="18C03451"/>
    <w:rsid w:val="18C1191E"/>
    <w:rsid w:val="18C343A0"/>
    <w:rsid w:val="18C563DC"/>
    <w:rsid w:val="18EB68CC"/>
    <w:rsid w:val="18FC3A19"/>
    <w:rsid w:val="19101FC3"/>
    <w:rsid w:val="192D164C"/>
    <w:rsid w:val="193C0E36"/>
    <w:rsid w:val="19482E1B"/>
    <w:rsid w:val="1950570D"/>
    <w:rsid w:val="19604CBC"/>
    <w:rsid w:val="19B476A3"/>
    <w:rsid w:val="19C41149"/>
    <w:rsid w:val="19C51754"/>
    <w:rsid w:val="19C71E55"/>
    <w:rsid w:val="19DC27FE"/>
    <w:rsid w:val="19E020E7"/>
    <w:rsid w:val="19E607BA"/>
    <w:rsid w:val="19E863DB"/>
    <w:rsid w:val="19EB7243"/>
    <w:rsid w:val="1A032FF5"/>
    <w:rsid w:val="1A100D82"/>
    <w:rsid w:val="1A110726"/>
    <w:rsid w:val="1A19214D"/>
    <w:rsid w:val="1A2C714E"/>
    <w:rsid w:val="1A2F497E"/>
    <w:rsid w:val="1A33400A"/>
    <w:rsid w:val="1A4F7538"/>
    <w:rsid w:val="1A552186"/>
    <w:rsid w:val="1A573A96"/>
    <w:rsid w:val="1A5949AF"/>
    <w:rsid w:val="1A5F0684"/>
    <w:rsid w:val="1A694CA0"/>
    <w:rsid w:val="1A711815"/>
    <w:rsid w:val="1A8650BB"/>
    <w:rsid w:val="1A9D3A48"/>
    <w:rsid w:val="1AA7641A"/>
    <w:rsid w:val="1AB75473"/>
    <w:rsid w:val="1ABB6E2A"/>
    <w:rsid w:val="1AC63C1B"/>
    <w:rsid w:val="1ACF690A"/>
    <w:rsid w:val="1ADB6A7B"/>
    <w:rsid w:val="1ADE1C71"/>
    <w:rsid w:val="1ADF7266"/>
    <w:rsid w:val="1AEB451C"/>
    <w:rsid w:val="1B006552"/>
    <w:rsid w:val="1B020921"/>
    <w:rsid w:val="1B037A18"/>
    <w:rsid w:val="1B1511C2"/>
    <w:rsid w:val="1B1E3089"/>
    <w:rsid w:val="1B2A1336"/>
    <w:rsid w:val="1B342395"/>
    <w:rsid w:val="1B3B20FA"/>
    <w:rsid w:val="1B3C2D73"/>
    <w:rsid w:val="1B45401A"/>
    <w:rsid w:val="1B63544D"/>
    <w:rsid w:val="1B695370"/>
    <w:rsid w:val="1B7645D2"/>
    <w:rsid w:val="1B7975E3"/>
    <w:rsid w:val="1B7D4C5B"/>
    <w:rsid w:val="1B8A08C2"/>
    <w:rsid w:val="1B9A50B4"/>
    <w:rsid w:val="1BA54D43"/>
    <w:rsid w:val="1BA8258E"/>
    <w:rsid w:val="1BAD4C50"/>
    <w:rsid w:val="1BBA6D0F"/>
    <w:rsid w:val="1BCD45EC"/>
    <w:rsid w:val="1BCF5BAB"/>
    <w:rsid w:val="1BF146DC"/>
    <w:rsid w:val="1C070699"/>
    <w:rsid w:val="1C230F93"/>
    <w:rsid w:val="1C290BD8"/>
    <w:rsid w:val="1C363BF9"/>
    <w:rsid w:val="1C59142B"/>
    <w:rsid w:val="1C7F0ECC"/>
    <w:rsid w:val="1C9C387F"/>
    <w:rsid w:val="1CA45BB8"/>
    <w:rsid w:val="1CBF176F"/>
    <w:rsid w:val="1CC370F6"/>
    <w:rsid w:val="1CCD4946"/>
    <w:rsid w:val="1CD14AF0"/>
    <w:rsid w:val="1CD9354D"/>
    <w:rsid w:val="1CDA2AE5"/>
    <w:rsid w:val="1CED2A6D"/>
    <w:rsid w:val="1D0474C9"/>
    <w:rsid w:val="1D08287C"/>
    <w:rsid w:val="1D0D368B"/>
    <w:rsid w:val="1D173AB6"/>
    <w:rsid w:val="1D187EBB"/>
    <w:rsid w:val="1D216F09"/>
    <w:rsid w:val="1D37298A"/>
    <w:rsid w:val="1D3F573B"/>
    <w:rsid w:val="1D4849DA"/>
    <w:rsid w:val="1D514946"/>
    <w:rsid w:val="1D57266A"/>
    <w:rsid w:val="1D573888"/>
    <w:rsid w:val="1D71367F"/>
    <w:rsid w:val="1D72312A"/>
    <w:rsid w:val="1D7B3C6F"/>
    <w:rsid w:val="1D8173E6"/>
    <w:rsid w:val="1D8B5A63"/>
    <w:rsid w:val="1DA00582"/>
    <w:rsid w:val="1DBE0159"/>
    <w:rsid w:val="1DBF15E9"/>
    <w:rsid w:val="1DC128C3"/>
    <w:rsid w:val="1DCE4D3E"/>
    <w:rsid w:val="1DD639FE"/>
    <w:rsid w:val="1DDC580D"/>
    <w:rsid w:val="1E185CFC"/>
    <w:rsid w:val="1E1D31C7"/>
    <w:rsid w:val="1E1F4942"/>
    <w:rsid w:val="1E252A2D"/>
    <w:rsid w:val="1E2830DF"/>
    <w:rsid w:val="1E37476D"/>
    <w:rsid w:val="1E51513D"/>
    <w:rsid w:val="1E5209CD"/>
    <w:rsid w:val="1E9E209E"/>
    <w:rsid w:val="1EB512F2"/>
    <w:rsid w:val="1EBD4274"/>
    <w:rsid w:val="1ED84D1E"/>
    <w:rsid w:val="1EF83B99"/>
    <w:rsid w:val="1EFB417F"/>
    <w:rsid w:val="1F0D0574"/>
    <w:rsid w:val="1F1F57A2"/>
    <w:rsid w:val="1F26738C"/>
    <w:rsid w:val="1F502DA6"/>
    <w:rsid w:val="1F556243"/>
    <w:rsid w:val="1F683966"/>
    <w:rsid w:val="1F6E0470"/>
    <w:rsid w:val="1F763CCA"/>
    <w:rsid w:val="1F793744"/>
    <w:rsid w:val="1F8D7BA7"/>
    <w:rsid w:val="1F942467"/>
    <w:rsid w:val="1F996E3C"/>
    <w:rsid w:val="1F9B0C3C"/>
    <w:rsid w:val="1F9B3182"/>
    <w:rsid w:val="1F9C39C9"/>
    <w:rsid w:val="1F9E4E4C"/>
    <w:rsid w:val="1FB5655D"/>
    <w:rsid w:val="1FBB56F3"/>
    <w:rsid w:val="1FC03EF2"/>
    <w:rsid w:val="1FC74D1B"/>
    <w:rsid w:val="1FC87651"/>
    <w:rsid w:val="1FD04333"/>
    <w:rsid w:val="1FD06351"/>
    <w:rsid w:val="1FD1232D"/>
    <w:rsid w:val="1FD1701A"/>
    <w:rsid w:val="1FDA47B1"/>
    <w:rsid w:val="1FED02F6"/>
    <w:rsid w:val="1FF61D25"/>
    <w:rsid w:val="1FFD3B6A"/>
    <w:rsid w:val="20005397"/>
    <w:rsid w:val="20040E42"/>
    <w:rsid w:val="20110E84"/>
    <w:rsid w:val="20355B0D"/>
    <w:rsid w:val="20435182"/>
    <w:rsid w:val="204A1EC9"/>
    <w:rsid w:val="204A37E7"/>
    <w:rsid w:val="20555B2E"/>
    <w:rsid w:val="205966D6"/>
    <w:rsid w:val="20806EFA"/>
    <w:rsid w:val="20897BDF"/>
    <w:rsid w:val="208A25A7"/>
    <w:rsid w:val="20A51DE1"/>
    <w:rsid w:val="20A867B6"/>
    <w:rsid w:val="20AE792A"/>
    <w:rsid w:val="20B51C50"/>
    <w:rsid w:val="20B54822"/>
    <w:rsid w:val="20C637AC"/>
    <w:rsid w:val="20DF77BC"/>
    <w:rsid w:val="20E30788"/>
    <w:rsid w:val="210F7D53"/>
    <w:rsid w:val="21114230"/>
    <w:rsid w:val="21132D72"/>
    <w:rsid w:val="2119668E"/>
    <w:rsid w:val="211A20DA"/>
    <w:rsid w:val="21217775"/>
    <w:rsid w:val="212356BE"/>
    <w:rsid w:val="2134023C"/>
    <w:rsid w:val="214B24AF"/>
    <w:rsid w:val="215215F8"/>
    <w:rsid w:val="21554C66"/>
    <w:rsid w:val="217E18D6"/>
    <w:rsid w:val="217E4C9B"/>
    <w:rsid w:val="21A2200E"/>
    <w:rsid w:val="21A40B7F"/>
    <w:rsid w:val="21A85973"/>
    <w:rsid w:val="21B121C4"/>
    <w:rsid w:val="21C22593"/>
    <w:rsid w:val="21C771CB"/>
    <w:rsid w:val="21EC2218"/>
    <w:rsid w:val="21F15A2C"/>
    <w:rsid w:val="21F95701"/>
    <w:rsid w:val="221A15E4"/>
    <w:rsid w:val="221E5D8B"/>
    <w:rsid w:val="222F6CA1"/>
    <w:rsid w:val="223335C9"/>
    <w:rsid w:val="2269234C"/>
    <w:rsid w:val="22747DDB"/>
    <w:rsid w:val="227849E0"/>
    <w:rsid w:val="22811271"/>
    <w:rsid w:val="22856112"/>
    <w:rsid w:val="228C6AE9"/>
    <w:rsid w:val="22903EBB"/>
    <w:rsid w:val="22B53180"/>
    <w:rsid w:val="22C01785"/>
    <w:rsid w:val="22D0325A"/>
    <w:rsid w:val="22F31115"/>
    <w:rsid w:val="22F44EC0"/>
    <w:rsid w:val="22F9232A"/>
    <w:rsid w:val="230506AA"/>
    <w:rsid w:val="230D2136"/>
    <w:rsid w:val="231039EB"/>
    <w:rsid w:val="233E2E62"/>
    <w:rsid w:val="23533E3C"/>
    <w:rsid w:val="23555FBD"/>
    <w:rsid w:val="235614B8"/>
    <w:rsid w:val="237E1085"/>
    <w:rsid w:val="2389578A"/>
    <w:rsid w:val="238E0CC2"/>
    <w:rsid w:val="239B2C51"/>
    <w:rsid w:val="23A7544E"/>
    <w:rsid w:val="23A83127"/>
    <w:rsid w:val="23B42D0A"/>
    <w:rsid w:val="23BD3240"/>
    <w:rsid w:val="23BF2648"/>
    <w:rsid w:val="23C96B56"/>
    <w:rsid w:val="23E438DC"/>
    <w:rsid w:val="23F14891"/>
    <w:rsid w:val="24065B2E"/>
    <w:rsid w:val="240A5ACF"/>
    <w:rsid w:val="240C0E96"/>
    <w:rsid w:val="241D73B4"/>
    <w:rsid w:val="24342583"/>
    <w:rsid w:val="243D1ED7"/>
    <w:rsid w:val="244C529B"/>
    <w:rsid w:val="24567B0C"/>
    <w:rsid w:val="24595EA9"/>
    <w:rsid w:val="245A3EC1"/>
    <w:rsid w:val="246607B7"/>
    <w:rsid w:val="24792050"/>
    <w:rsid w:val="247A096E"/>
    <w:rsid w:val="248620EA"/>
    <w:rsid w:val="248B6569"/>
    <w:rsid w:val="249F7CFA"/>
    <w:rsid w:val="24A25054"/>
    <w:rsid w:val="24A5338B"/>
    <w:rsid w:val="24A770BC"/>
    <w:rsid w:val="24B325CB"/>
    <w:rsid w:val="24C373ED"/>
    <w:rsid w:val="24C9069F"/>
    <w:rsid w:val="24D36A17"/>
    <w:rsid w:val="24E721B1"/>
    <w:rsid w:val="24EC2FF7"/>
    <w:rsid w:val="24F412CC"/>
    <w:rsid w:val="24F9029A"/>
    <w:rsid w:val="24FB1D91"/>
    <w:rsid w:val="25143F64"/>
    <w:rsid w:val="25170823"/>
    <w:rsid w:val="254146A7"/>
    <w:rsid w:val="25454899"/>
    <w:rsid w:val="254A6653"/>
    <w:rsid w:val="25555C08"/>
    <w:rsid w:val="255A45A1"/>
    <w:rsid w:val="255B001A"/>
    <w:rsid w:val="25610B65"/>
    <w:rsid w:val="25687BEB"/>
    <w:rsid w:val="257860F1"/>
    <w:rsid w:val="257A5F33"/>
    <w:rsid w:val="25826B54"/>
    <w:rsid w:val="25862AA3"/>
    <w:rsid w:val="258A778D"/>
    <w:rsid w:val="25953DB7"/>
    <w:rsid w:val="25957EEE"/>
    <w:rsid w:val="25A13B8D"/>
    <w:rsid w:val="25AF0139"/>
    <w:rsid w:val="25B0480A"/>
    <w:rsid w:val="25E1598F"/>
    <w:rsid w:val="25E358D7"/>
    <w:rsid w:val="25E844E2"/>
    <w:rsid w:val="25F87333"/>
    <w:rsid w:val="262B344A"/>
    <w:rsid w:val="262F5DAB"/>
    <w:rsid w:val="26331BFE"/>
    <w:rsid w:val="263C2FCA"/>
    <w:rsid w:val="263C7389"/>
    <w:rsid w:val="26436D96"/>
    <w:rsid w:val="26474794"/>
    <w:rsid w:val="26565096"/>
    <w:rsid w:val="26631FA4"/>
    <w:rsid w:val="26787A79"/>
    <w:rsid w:val="267A155C"/>
    <w:rsid w:val="267D3213"/>
    <w:rsid w:val="26916A98"/>
    <w:rsid w:val="269E28A2"/>
    <w:rsid w:val="269F1F56"/>
    <w:rsid w:val="26A614BB"/>
    <w:rsid w:val="26AA60F5"/>
    <w:rsid w:val="26AE512A"/>
    <w:rsid w:val="26AF121F"/>
    <w:rsid w:val="26B1777C"/>
    <w:rsid w:val="26B83A6C"/>
    <w:rsid w:val="26C10960"/>
    <w:rsid w:val="26DB1301"/>
    <w:rsid w:val="26E942DD"/>
    <w:rsid w:val="27001E87"/>
    <w:rsid w:val="270C37A0"/>
    <w:rsid w:val="27131D3E"/>
    <w:rsid w:val="271461F2"/>
    <w:rsid w:val="27187597"/>
    <w:rsid w:val="271C0791"/>
    <w:rsid w:val="2724461D"/>
    <w:rsid w:val="27266B33"/>
    <w:rsid w:val="272C5CF9"/>
    <w:rsid w:val="27464424"/>
    <w:rsid w:val="2747668A"/>
    <w:rsid w:val="274806C8"/>
    <w:rsid w:val="2752334F"/>
    <w:rsid w:val="27531B94"/>
    <w:rsid w:val="275F6100"/>
    <w:rsid w:val="2764174E"/>
    <w:rsid w:val="27700B35"/>
    <w:rsid w:val="277A3B78"/>
    <w:rsid w:val="277D1D0C"/>
    <w:rsid w:val="277F7492"/>
    <w:rsid w:val="27803E93"/>
    <w:rsid w:val="2788134B"/>
    <w:rsid w:val="27882C72"/>
    <w:rsid w:val="27961ADC"/>
    <w:rsid w:val="27A00464"/>
    <w:rsid w:val="27BD4CCC"/>
    <w:rsid w:val="27CA2611"/>
    <w:rsid w:val="27CF5D9C"/>
    <w:rsid w:val="27ED036D"/>
    <w:rsid w:val="27F641BF"/>
    <w:rsid w:val="28003F0B"/>
    <w:rsid w:val="28070001"/>
    <w:rsid w:val="28083688"/>
    <w:rsid w:val="280F2EA6"/>
    <w:rsid w:val="28256A9E"/>
    <w:rsid w:val="283939F0"/>
    <w:rsid w:val="28463FD9"/>
    <w:rsid w:val="28594E9F"/>
    <w:rsid w:val="28690E82"/>
    <w:rsid w:val="287C2035"/>
    <w:rsid w:val="288149BF"/>
    <w:rsid w:val="288F1FE6"/>
    <w:rsid w:val="289D6FBC"/>
    <w:rsid w:val="28AB4703"/>
    <w:rsid w:val="28C832D0"/>
    <w:rsid w:val="28CB57FE"/>
    <w:rsid w:val="28CE6166"/>
    <w:rsid w:val="28D7518D"/>
    <w:rsid w:val="28DE51B7"/>
    <w:rsid w:val="29083B3D"/>
    <w:rsid w:val="290E35DA"/>
    <w:rsid w:val="2913310C"/>
    <w:rsid w:val="29162023"/>
    <w:rsid w:val="29192837"/>
    <w:rsid w:val="29201D7A"/>
    <w:rsid w:val="292B1B70"/>
    <w:rsid w:val="29403C61"/>
    <w:rsid w:val="29606EE6"/>
    <w:rsid w:val="29773877"/>
    <w:rsid w:val="298404B0"/>
    <w:rsid w:val="29936F43"/>
    <w:rsid w:val="299C39AF"/>
    <w:rsid w:val="299F017B"/>
    <w:rsid w:val="29A91F5E"/>
    <w:rsid w:val="29AC6880"/>
    <w:rsid w:val="29B05B7D"/>
    <w:rsid w:val="29BB6D3C"/>
    <w:rsid w:val="29C8558F"/>
    <w:rsid w:val="29D32F20"/>
    <w:rsid w:val="29DB3C33"/>
    <w:rsid w:val="29E47A49"/>
    <w:rsid w:val="29FD46B6"/>
    <w:rsid w:val="2A083949"/>
    <w:rsid w:val="2A201DDE"/>
    <w:rsid w:val="2A24268B"/>
    <w:rsid w:val="2A335710"/>
    <w:rsid w:val="2A4855D7"/>
    <w:rsid w:val="2A4A6B0C"/>
    <w:rsid w:val="2A592D0F"/>
    <w:rsid w:val="2A670DFB"/>
    <w:rsid w:val="2A79374A"/>
    <w:rsid w:val="2A7975BE"/>
    <w:rsid w:val="2A7B6947"/>
    <w:rsid w:val="2A7C6744"/>
    <w:rsid w:val="2A7E0511"/>
    <w:rsid w:val="2A871C11"/>
    <w:rsid w:val="2A8D0B0F"/>
    <w:rsid w:val="2A914420"/>
    <w:rsid w:val="2AB5028A"/>
    <w:rsid w:val="2AC728D2"/>
    <w:rsid w:val="2AD57EC8"/>
    <w:rsid w:val="2AD8573B"/>
    <w:rsid w:val="2AFC1B6B"/>
    <w:rsid w:val="2B0244E2"/>
    <w:rsid w:val="2B0F2555"/>
    <w:rsid w:val="2B13639B"/>
    <w:rsid w:val="2B1544E5"/>
    <w:rsid w:val="2B334D0B"/>
    <w:rsid w:val="2B37404A"/>
    <w:rsid w:val="2B3C5F48"/>
    <w:rsid w:val="2B413DAC"/>
    <w:rsid w:val="2B5059C7"/>
    <w:rsid w:val="2B64193C"/>
    <w:rsid w:val="2B7007CF"/>
    <w:rsid w:val="2B722796"/>
    <w:rsid w:val="2B757DBF"/>
    <w:rsid w:val="2B8442FF"/>
    <w:rsid w:val="2B8B0C0F"/>
    <w:rsid w:val="2B8D6BD0"/>
    <w:rsid w:val="2B9B2478"/>
    <w:rsid w:val="2BA50466"/>
    <w:rsid w:val="2BB1570D"/>
    <w:rsid w:val="2BB34299"/>
    <w:rsid w:val="2BC2605F"/>
    <w:rsid w:val="2BC405A2"/>
    <w:rsid w:val="2BCC3285"/>
    <w:rsid w:val="2BD036BC"/>
    <w:rsid w:val="2BD154E9"/>
    <w:rsid w:val="2BD436ED"/>
    <w:rsid w:val="2BE01C6B"/>
    <w:rsid w:val="2BE83025"/>
    <w:rsid w:val="2BFA02AD"/>
    <w:rsid w:val="2C1153F3"/>
    <w:rsid w:val="2C1340C8"/>
    <w:rsid w:val="2C1349B3"/>
    <w:rsid w:val="2C1F54A6"/>
    <w:rsid w:val="2C372AEA"/>
    <w:rsid w:val="2C8E0DDA"/>
    <w:rsid w:val="2C9C2D10"/>
    <w:rsid w:val="2C9C4200"/>
    <w:rsid w:val="2CA16209"/>
    <w:rsid w:val="2CA35C5C"/>
    <w:rsid w:val="2CB11B6B"/>
    <w:rsid w:val="2CB8113B"/>
    <w:rsid w:val="2CCB7A09"/>
    <w:rsid w:val="2CCC3B45"/>
    <w:rsid w:val="2CD47606"/>
    <w:rsid w:val="2CEF481A"/>
    <w:rsid w:val="2CF21A3B"/>
    <w:rsid w:val="2CFA74B7"/>
    <w:rsid w:val="2D034B8C"/>
    <w:rsid w:val="2D127330"/>
    <w:rsid w:val="2D1922BF"/>
    <w:rsid w:val="2D1E6FAE"/>
    <w:rsid w:val="2D241683"/>
    <w:rsid w:val="2D251B00"/>
    <w:rsid w:val="2D262D25"/>
    <w:rsid w:val="2D265A20"/>
    <w:rsid w:val="2D331087"/>
    <w:rsid w:val="2D3B6728"/>
    <w:rsid w:val="2D405182"/>
    <w:rsid w:val="2D406663"/>
    <w:rsid w:val="2D420024"/>
    <w:rsid w:val="2D4D72C4"/>
    <w:rsid w:val="2D581E92"/>
    <w:rsid w:val="2D5C2E0D"/>
    <w:rsid w:val="2D70588B"/>
    <w:rsid w:val="2D7D178A"/>
    <w:rsid w:val="2D87256F"/>
    <w:rsid w:val="2DA31C74"/>
    <w:rsid w:val="2DBD4788"/>
    <w:rsid w:val="2DBE4293"/>
    <w:rsid w:val="2DC50A44"/>
    <w:rsid w:val="2DCE6661"/>
    <w:rsid w:val="2DDB46FB"/>
    <w:rsid w:val="2DE46A81"/>
    <w:rsid w:val="2DEE6370"/>
    <w:rsid w:val="2DFF0FC0"/>
    <w:rsid w:val="2E122A84"/>
    <w:rsid w:val="2E1C51B6"/>
    <w:rsid w:val="2E2D0256"/>
    <w:rsid w:val="2E4740F4"/>
    <w:rsid w:val="2E5159B7"/>
    <w:rsid w:val="2E5549C7"/>
    <w:rsid w:val="2E590462"/>
    <w:rsid w:val="2E607DF7"/>
    <w:rsid w:val="2E6A1366"/>
    <w:rsid w:val="2E99111E"/>
    <w:rsid w:val="2EA15D27"/>
    <w:rsid w:val="2EA8247E"/>
    <w:rsid w:val="2EBE0CB7"/>
    <w:rsid w:val="2EC26969"/>
    <w:rsid w:val="2EC96825"/>
    <w:rsid w:val="2ECB2949"/>
    <w:rsid w:val="2ECE63F8"/>
    <w:rsid w:val="2ED208A2"/>
    <w:rsid w:val="2EF00E9B"/>
    <w:rsid w:val="2F37094A"/>
    <w:rsid w:val="2F3B64FF"/>
    <w:rsid w:val="2F477462"/>
    <w:rsid w:val="2F4C40A5"/>
    <w:rsid w:val="2F563EC0"/>
    <w:rsid w:val="2F5762B0"/>
    <w:rsid w:val="2F591613"/>
    <w:rsid w:val="2F5B42DA"/>
    <w:rsid w:val="2F5E5488"/>
    <w:rsid w:val="2F764A55"/>
    <w:rsid w:val="2F7A32AC"/>
    <w:rsid w:val="2F9453AA"/>
    <w:rsid w:val="2F990185"/>
    <w:rsid w:val="2F9960ED"/>
    <w:rsid w:val="2F9A068B"/>
    <w:rsid w:val="2F9D74DB"/>
    <w:rsid w:val="2FA1782B"/>
    <w:rsid w:val="2FAE723E"/>
    <w:rsid w:val="2FB3377D"/>
    <w:rsid w:val="2FDF74CA"/>
    <w:rsid w:val="2FE75080"/>
    <w:rsid w:val="2FEE1CDB"/>
    <w:rsid w:val="30201DEC"/>
    <w:rsid w:val="30741A2E"/>
    <w:rsid w:val="307E7076"/>
    <w:rsid w:val="307F5651"/>
    <w:rsid w:val="30865217"/>
    <w:rsid w:val="30871F9B"/>
    <w:rsid w:val="308A276F"/>
    <w:rsid w:val="308B2303"/>
    <w:rsid w:val="309762F2"/>
    <w:rsid w:val="309C1C91"/>
    <w:rsid w:val="30A22C4B"/>
    <w:rsid w:val="30A7467B"/>
    <w:rsid w:val="30AE2B58"/>
    <w:rsid w:val="30C21A50"/>
    <w:rsid w:val="30C536F8"/>
    <w:rsid w:val="30D3442A"/>
    <w:rsid w:val="30E77847"/>
    <w:rsid w:val="30FD42E7"/>
    <w:rsid w:val="31063524"/>
    <w:rsid w:val="31111818"/>
    <w:rsid w:val="3112228B"/>
    <w:rsid w:val="311B3483"/>
    <w:rsid w:val="31231D3C"/>
    <w:rsid w:val="312A405D"/>
    <w:rsid w:val="313C3448"/>
    <w:rsid w:val="313E3642"/>
    <w:rsid w:val="31455A5C"/>
    <w:rsid w:val="31542A30"/>
    <w:rsid w:val="3161328B"/>
    <w:rsid w:val="317B7969"/>
    <w:rsid w:val="318F7AB2"/>
    <w:rsid w:val="31AB5EC3"/>
    <w:rsid w:val="31B7469D"/>
    <w:rsid w:val="31BB49B7"/>
    <w:rsid w:val="31BB79ED"/>
    <w:rsid w:val="31C20B2E"/>
    <w:rsid w:val="31C22C6F"/>
    <w:rsid w:val="31C6519A"/>
    <w:rsid w:val="31D26D13"/>
    <w:rsid w:val="31DA083D"/>
    <w:rsid w:val="31F02C1F"/>
    <w:rsid w:val="31F74844"/>
    <w:rsid w:val="31FA6967"/>
    <w:rsid w:val="320C2F59"/>
    <w:rsid w:val="320F6237"/>
    <w:rsid w:val="32103AB7"/>
    <w:rsid w:val="321F0EFF"/>
    <w:rsid w:val="3229136A"/>
    <w:rsid w:val="32390A31"/>
    <w:rsid w:val="32422E31"/>
    <w:rsid w:val="325C521B"/>
    <w:rsid w:val="32622260"/>
    <w:rsid w:val="326C5E75"/>
    <w:rsid w:val="32766ADC"/>
    <w:rsid w:val="327A47BE"/>
    <w:rsid w:val="32825267"/>
    <w:rsid w:val="328D340B"/>
    <w:rsid w:val="32A27B77"/>
    <w:rsid w:val="32B53E59"/>
    <w:rsid w:val="32BA6E40"/>
    <w:rsid w:val="32BB18DA"/>
    <w:rsid w:val="32D101D4"/>
    <w:rsid w:val="32E47E1B"/>
    <w:rsid w:val="32EA52BF"/>
    <w:rsid w:val="32F32C04"/>
    <w:rsid w:val="32F33A30"/>
    <w:rsid w:val="32F744EE"/>
    <w:rsid w:val="32F940BC"/>
    <w:rsid w:val="32FF6751"/>
    <w:rsid w:val="33024DB1"/>
    <w:rsid w:val="330F4304"/>
    <w:rsid w:val="33114DDB"/>
    <w:rsid w:val="33117375"/>
    <w:rsid w:val="33185555"/>
    <w:rsid w:val="331A0B19"/>
    <w:rsid w:val="331A3857"/>
    <w:rsid w:val="33236624"/>
    <w:rsid w:val="332E240F"/>
    <w:rsid w:val="332E3412"/>
    <w:rsid w:val="332F09CC"/>
    <w:rsid w:val="33346A83"/>
    <w:rsid w:val="334C5B8E"/>
    <w:rsid w:val="335845F2"/>
    <w:rsid w:val="335F6666"/>
    <w:rsid w:val="336E664F"/>
    <w:rsid w:val="337148D9"/>
    <w:rsid w:val="33752B01"/>
    <w:rsid w:val="337D3848"/>
    <w:rsid w:val="33A852D5"/>
    <w:rsid w:val="33C25D73"/>
    <w:rsid w:val="33C44CA1"/>
    <w:rsid w:val="33C51B6D"/>
    <w:rsid w:val="33D63411"/>
    <w:rsid w:val="33D864B6"/>
    <w:rsid w:val="33DD2C3C"/>
    <w:rsid w:val="33DF7B09"/>
    <w:rsid w:val="33E57E53"/>
    <w:rsid w:val="34037A3B"/>
    <w:rsid w:val="34193BE5"/>
    <w:rsid w:val="341C1D6F"/>
    <w:rsid w:val="341F1A92"/>
    <w:rsid w:val="342457C2"/>
    <w:rsid w:val="342910C4"/>
    <w:rsid w:val="34386A2F"/>
    <w:rsid w:val="344A06F0"/>
    <w:rsid w:val="34603AFF"/>
    <w:rsid w:val="34776D68"/>
    <w:rsid w:val="34972C19"/>
    <w:rsid w:val="34AE2BE2"/>
    <w:rsid w:val="34B60F57"/>
    <w:rsid w:val="34BE41EC"/>
    <w:rsid w:val="34DA5A70"/>
    <w:rsid w:val="34DF36C3"/>
    <w:rsid w:val="35080E61"/>
    <w:rsid w:val="351D229D"/>
    <w:rsid w:val="35233233"/>
    <w:rsid w:val="35236787"/>
    <w:rsid w:val="35241438"/>
    <w:rsid w:val="353402AB"/>
    <w:rsid w:val="354A23A5"/>
    <w:rsid w:val="357122EA"/>
    <w:rsid w:val="35722631"/>
    <w:rsid w:val="35890A9E"/>
    <w:rsid w:val="35894B8F"/>
    <w:rsid w:val="358A2517"/>
    <w:rsid w:val="359377CF"/>
    <w:rsid w:val="359A1C70"/>
    <w:rsid w:val="35A66E1F"/>
    <w:rsid w:val="35AD09C3"/>
    <w:rsid w:val="35B150CC"/>
    <w:rsid w:val="35B54D0A"/>
    <w:rsid w:val="35BF3F4C"/>
    <w:rsid w:val="35F67BCB"/>
    <w:rsid w:val="35F76562"/>
    <w:rsid w:val="35FF7757"/>
    <w:rsid w:val="36126473"/>
    <w:rsid w:val="362013CC"/>
    <w:rsid w:val="36397704"/>
    <w:rsid w:val="36577678"/>
    <w:rsid w:val="36663241"/>
    <w:rsid w:val="36676BC9"/>
    <w:rsid w:val="36676F03"/>
    <w:rsid w:val="366B6D5D"/>
    <w:rsid w:val="366F792B"/>
    <w:rsid w:val="367D7A13"/>
    <w:rsid w:val="36812403"/>
    <w:rsid w:val="368A5895"/>
    <w:rsid w:val="368D1CFF"/>
    <w:rsid w:val="36923A34"/>
    <w:rsid w:val="369826E4"/>
    <w:rsid w:val="36B57494"/>
    <w:rsid w:val="36BB69D9"/>
    <w:rsid w:val="36C65164"/>
    <w:rsid w:val="36CA0AA6"/>
    <w:rsid w:val="36CA535B"/>
    <w:rsid w:val="36D87A77"/>
    <w:rsid w:val="36DF27FB"/>
    <w:rsid w:val="36E921A1"/>
    <w:rsid w:val="36FC579D"/>
    <w:rsid w:val="370A1D54"/>
    <w:rsid w:val="37243E2F"/>
    <w:rsid w:val="37311211"/>
    <w:rsid w:val="37385903"/>
    <w:rsid w:val="374817AC"/>
    <w:rsid w:val="378E1024"/>
    <w:rsid w:val="37B525D6"/>
    <w:rsid w:val="37BE78F7"/>
    <w:rsid w:val="37BF798B"/>
    <w:rsid w:val="37C23F8F"/>
    <w:rsid w:val="37C80B6E"/>
    <w:rsid w:val="37D4449F"/>
    <w:rsid w:val="37D9256B"/>
    <w:rsid w:val="37E62C1B"/>
    <w:rsid w:val="37ED2FAB"/>
    <w:rsid w:val="380462C5"/>
    <w:rsid w:val="380C2567"/>
    <w:rsid w:val="38111B40"/>
    <w:rsid w:val="38161547"/>
    <w:rsid w:val="381B2717"/>
    <w:rsid w:val="38201FEF"/>
    <w:rsid w:val="38356875"/>
    <w:rsid w:val="383655F2"/>
    <w:rsid w:val="3843776D"/>
    <w:rsid w:val="38443B46"/>
    <w:rsid w:val="384A0106"/>
    <w:rsid w:val="384A3492"/>
    <w:rsid w:val="384C6518"/>
    <w:rsid w:val="384D15CA"/>
    <w:rsid w:val="389C66A5"/>
    <w:rsid w:val="389D6C69"/>
    <w:rsid w:val="389E2802"/>
    <w:rsid w:val="38A959D4"/>
    <w:rsid w:val="38AE4D5A"/>
    <w:rsid w:val="38D35429"/>
    <w:rsid w:val="38DF7FF9"/>
    <w:rsid w:val="38EC5D63"/>
    <w:rsid w:val="38EC7B5D"/>
    <w:rsid w:val="38F55D42"/>
    <w:rsid w:val="38FF4B09"/>
    <w:rsid w:val="390D5FC5"/>
    <w:rsid w:val="39216C0F"/>
    <w:rsid w:val="392C79BA"/>
    <w:rsid w:val="393F4A55"/>
    <w:rsid w:val="39575392"/>
    <w:rsid w:val="395B53C1"/>
    <w:rsid w:val="395C43F2"/>
    <w:rsid w:val="3965228B"/>
    <w:rsid w:val="39670ED0"/>
    <w:rsid w:val="397500E2"/>
    <w:rsid w:val="397833EE"/>
    <w:rsid w:val="39865EA3"/>
    <w:rsid w:val="399552F9"/>
    <w:rsid w:val="399B54F4"/>
    <w:rsid w:val="399C19F7"/>
    <w:rsid w:val="39B925E1"/>
    <w:rsid w:val="39BA13C8"/>
    <w:rsid w:val="39D218BE"/>
    <w:rsid w:val="39FF6A0D"/>
    <w:rsid w:val="3A080C7E"/>
    <w:rsid w:val="3A0C3E1D"/>
    <w:rsid w:val="3A0C5A34"/>
    <w:rsid w:val="3A1C7755"/>
    <w:rsid w:val="3A305785"/>
    <w:rsid w:val="3A32158C"/>
    <w:rsid w:val="3A444107"/>
    <w:rsid w:val="3A484B88"/>
    <w:rsid w:val="3A5A7033"/>
    <w:rsid w:val="3A5E7969"/>
    <w:rsid w:val="3A643A28"/>
    <w:rsid w:val="3A690E0C"/>
    <w:rsid w:val="3A6C703C"/>
    <w:rsid w:val="3A752CCA"/>
    <w:rsid w:val="3A765C48"/>
    <w:rsid w:val="3A7B345F"/>
    <w:rsid w:val="3A866BC6"/>
    <w:rsid w:val="3A911FB9"/>
    <w:rsid w:val="3A9B7985"/>
    <w:rsid w:val="3AAD5DFF"/>
    <w:rsid w:val="3ACA2D53"/>
    <w:rsid w:val="3AEA6F2D"/>
    <w:rsid w:val="3AF43E10"/>
    <w:rsid w:val="3AF43F8E"/>
    <w:rsid w:val="3B0309CB"/>
    <w:rsid w:val="3B0C7433"/>
    <w:rsid w:val="3B292BD7"/>
    <w:rsid w:val="3B312F5D"/>
    <w:rsid w:val="3B3C3874"/>
    <w:rsid w:val="3B592662"/>
    <w:rsid w:val="3B5D6AB6"/>
    <w:rsid w:val="3B6218ED"/>
    <w:rsid w:val="3B713C84"/>
    <w:rsid w:val="3BAD4688"/>
    <w:rsid w:val="3BAF3F1B"/>
    <w:rsid w:val="3BB405C4"/>
    <w:rsid w:val="3BB40E17"/>
    <w:rsid w:val="3BC8416D"/>
    <w:rsid w:val="3BCC3AD2"/>
    <w:rsid w:val="3BD615F4"/>
    <w:rsid w:val="3BD715EE"/>
    <w:rsid w:val="3BDF7C0B"/>
    <w:rsid w:val="3BE942A6"/>
    <w:rsid w:val="3C024E41"/>
    <w:rsid w:val="3C1B318D"/>
    <w:rsid w:val="3C1E66A9"/>
    <w:rsid w:val="3C244BC9"/>
    <w:rsid w:val="3C284D04"/>
    <w:rsid w:val="3C4B3834"/>
    <w:rsid w:val="3C5925FB"/>
    <w:rsid w:val="3C693459"/>
    <w:rsid w:val="3C7568B5"/>
    <w:rsid w:val="3C8836B2"/>
    <w:rsid w:val="3C913A37"/>
    <w:rsid w:val="3C9A390C"/>
    <w:rsid w:val="3C9C7159"/>
    <w:rsid w:val="3C9F3ED4"/>
    <w:rsid w:val="3CA903D3"/>
    <w:rsid w:val="3CAB1870"/>
    <w:rsid w:val="3CB90F2D"/>
    <w:rsid w:val="3CBB086D"/>
    <w:rsid w:val="3CC84876"/>
    <w:rsid w:val="3CE578FF"/>
    <w:rsid w:val="3CEC0192"/>
    <w:rsid w:val="3CEF5EC6"/>
    <w:rsid w:val="3CFA6C45"/>
    <w:rsid w:val="3D015D95"/>
    <w:rsid w:val="3D025E99"/>
    <w:rsid w:val="3D0F7421"/>
    <w:rsid w:val="3D2C502D"/>
    <w:rsid w:val="3D2E3AFF"/>
    <w:rsid w:val="3D410057"/>
    <w:rsid w:val="3D65299D"/>
    <w:rsid w:val="3D7002C2"/>
    <w:rsid w:val="3D705445"/>
    <w:rsid w:val="3D80753F"/>
    <w:rsid w:val="3D91524E"/>
    <w:rsid w:val="3DAC2E59"/>
    <w:rsid w:val="3DB06A15"/>
    <w:rsid w:val="3DB27AFD"/>
    <w:rsid w:val="3DB644A1"/>
    <w:rsid w:val="3DD249E0"/>
    <w:rsid w:val="3DD436DE"/>
    <w:rsid w:val="3DE57922"/>
    <w:rsid w:val="3DEA5222"/>
    <w:rsid w:val="3E1E3713"/>
    <w:rsid w:val="3E2454EA"/>
    <w:rsid w:val="3E403169"/>
    <w:rsid w:val="3E57271F"/>
    <w:rsid w:val="3E8D6290"/>
    <w:rsid w:val="3EB645B3"/>
    <w:rsid w:val="3ED46D63"/>
    <w:rsid w:val="3EE823FD"/>
    <w:rsid w:val="3EEE4C2B"/>
    <w:rsid w:val="3EF64E4D"/>
    <w:rsid w:val="3F1216C6"/>
    <w:rsid w:val="3F290825"/>
    <w:rsid w:val="3F2B16DE"/>
    <w:rsid w:val="3F31483F"/>
    <w:rsid w:val="3F336778"/>
    <w:rsid w:val="3F365051"/>
    <w:rsid w:val="3F395583"/>
    <w:rsid w:val="3F40798A"/>
    <w:rsid w:val="3F470D43"/>
    <w:rsid w:val="3F4967BC"/>
    <w:rsid w:val="3F530DC6"/>
    <w:rsid w:val="3F5377BC"/>
    <w:rsid w:val="3F553D74"/>
    <w:rsid w:val="3F6A0D82"/>
    <w:rsid w:val="3F6A2D29"/>
    <w:rsid w:val="3F7A7535"/>
    <w:rsid w:val="3F8064D7"/>
    <w:rsid w:val="3F8A6D38"/>
    <w:rsid w:val="3F967246"/>
    <w:rsid w:val="3FAA799C"/>
    <w:rsid w:val="3FAB221E"/>
    <w:rsid w:val="3FBF0AD3"/>
    <w:rsid w:val="3FCC7782"/>
    <w:rsid w:val="3FCE76B0"/>
    <w:rsid w:val="3FDF5186"/>
    <w:rsid w:val="3FE63642"/>
    <w:rsid w:val="400966B5"/>
    <w:rsid w:val="400D155F"/>
    <w:rsid w:val="401E3DB1"/>
    <w:rsid w:val="4023639E"/>
    <w:rsid w:val="4034337D"/>
    <w:rsid w:val="40525F7A"/>
    <w:rsid w:val="4053239D"/>
    <w:rsid w:val="405B41A1"/>
    <w:rsid w:val="407420FB"/>
    <w:rsid w:val="407C24CF"/>
    <w:rsid w:val="40806D30"/>
    <w:rsid w:val="4085076A"/>
    <w:rsid w:val="40862F22"/>
    <w:rsid w:val="40AB60D9"/>
    <w:rsid w:val="40AF30BC"/>
    <w:rsid w:val="40DA5127"/>
    <w:rsid w:val="40DF247E"/>
    <w:rsid w:val="40E64E9A"/>
    <w:rsid w:val="41130281"/>
    <w:rsid w:val="41183D52"/>
    <w:rsid w:val="41334B86"/>
    <w:rsid w:val="41351C68"/>
    <w:rsid w:val="413D3EC4"/>
    <w:rsid w:val="41414E62"/>
    <w:rsid w:val="414B1BB7"/>
    <w:rsid w:val="416F754E"/>
    <w:rsid w:val="41780330"/>
    <w:rsid w:val="41843CC0"/>
    <w:rsid w:val="41904E91"/>
    <w:rsid w:val="41956A0C"/>
    <w:rsid w:val="41AA6E82"/>
    <w:rsid w:val="41AE7837"/>
    <w:rsid w:val="41B519BD"/>
    <w:rsid w:val="41BA67B5"/>
    <w:rsid w:val="41BA7E70"/>
    <w:rsid w:val="41BB23FB"/>
    <w:rsid w:val="41D20325"/>
    <w:rsid w:val="41DB2819"/>
    <w:rsid w:val="41EE0D4F"/>
    <w:rsid w:val="41FC4161"/>
    <w:rsid w:val="42052D95"/>
    <w:rsid w:val="42055045"/>
    <w:rsid w:val="420B1123"/>
    <w:rsid w:val="420B4F14"/>
    <w:rsid w:val="42250FC4"/>
    <w:rsid w:val="4237088B"/>
    <w:rsid w:val="4254209D"/>
    <w:rsid w:val="42634F08"/>
    <w:rsid w:val="428A429C"/>
    <w:rsid w:val="428B6885"/>
    <w:rsid w:val="42906A44"/>
    <w:rsid w:val="42A415DE"/>
    <w:rsid w:val="42C22FB1"/>
    <w:rsid w:val="42C54810"/>
    <w:rsid w:val="42D305CE"/>
    <w:rsid w:val="42E36C5D"/>
    <w:rsid w:val="42E52701"/>
    <w:rsid w:val="42E56E08"/>
    <w:rsid w:val="42ED03DB"/>
    <w:rsid w:val="42F66C22"/>
    <w:rsid w:val="43053AE6"/>
    <w:rsid w:val="43085A3B"/>
    <w:rsid w:val="430D5F17"/>
    <w:rsid w:val="433472F9"/>
    <w:rsid w:val="433E3343"/>
    <w:rsid w:val="434E3B6E"/>
    <w:rsid w:val="434F6220"/>
    <w:rsid w:val="4373747F"/>
    <w:rsid w:val="438D7468"/>
    <w:rsid w:val="438F1D9B"/>
    <w:rsid w:val="438F44B4"/>
    <w:rsid w:val="439067D5"/>
    <w:rsid w:val="439411F8"/>
    <w:rsid w:val="43977D17"/>
    <w:rsid w:val="43AF5841"/>
    <w:rsid w:val="43B038A3"/>
    <w:rsid w:val="43BF2D22"/>
    <w:rsid w:val="43DD6205"/>
    <w:rsid w:val="43F07D1E"/>
    <w:rsid w:val="440E279E"/>
    <w:rsid w:val="440F49DD"/>
    <w:rsid w:val="44106909"/>
    <w:rsid w:val="442E7966"/>
    <w:rsid w:val="4434221F"/>
    <w:rsid w:val="443A492F"/>
    <w:rsid w:val="444177EC"/>
    <w:rsid w:val="44417F14"/>
    <w:rsid w:val="444F28C7"/>
    <w:rsid w:val="44511B1B"/>
    <w:rsid w:val="4456483A"/>
    <w:rsid w:val="44611A8F"/>
    <w:rsid w:val="446B0FA1"/>
    <w:rsid w:val="447C75A6"/>
    <w:rsid w:val="44A0270A"/>
    <w:rsid w:val="44AB3C41"/>
    <w:rsid w:val="44AB51EB"/>
    <w:rsid w:val="44F25967"/>
    <w:rsid w:val="44F40442"/>
    <w:rsid w:val="451C0059"/>
    <w:rsid w:val="452F49E2"/>
    <w:rsid w:val="45311463"/>
    <w:rsid w:val="45501DAF"/>
    <w:rsid w:val="455B5C1B"/>
    <w:rsid w:val="456448D4"/>
    <w:rsid w:val="457174CF"/>
    <w:rsid w:val="458C7895"/>
    <w:rsid w:val="459557C4"/>
    <w:rsid w:val="45AA4AD2"/>
    <w:rsid w:val="45AE4BB8"/>
    <w:rsid w:val="45B80E28"/>
    <w:rsid w:val="45BC0EBC"/>
    <w:rsid w:val="45D1456B"/>
    <w:rsid w:val="45D53ED0"/>
    <w:rsid w:val="45EB5820"/>
    <w:rsid w:val="45FF1C64"/>
    <w:rsid w:val="460E375C"/>
    <w:rsid w:val="46164CEE"/>
    <w:rsid w:val="463C050E"/>
    <w:rsid w:val="464F3C74"/>
    <w:rsid w:val="46601F98"/>
    <w:rsid w:val="466744A5"/>
    <w:rsid w:val="466852D6"/>
    <w:rsid w:val="466D3342"/>
    <w:rsid w:val="467A3B2C"/>
    <w:rsid w:val="46867C5A"/>
    <w:rsid w:val="4691548C"/>
    <w:rsid w:val="46951F49"/>
    <w:rsid w:val="469F4E35"/>
    <w:rsid w:val="46AA26BD"/>
    <w:rsid w:val="46AA7451"/>
    <w:rsid w:val="46C4380F"/>
    <w:rsid w:val="46C84C9D"/>
    <w:rsid w:val="46CD18CA"/>
    <w:rsid w:val="46D35C01"/>
    <w:rsid w:val="46EA2657"/>
    <w:rsid w:val="46F741B4"/>
    <w:rsid w:val="46F8593B"/>
    <w:rsid w:val="47064012"/>
    <w:rsid w:val="47117804"/>
    <w:rsid w:val="4721661C"/>
    <w:rsid w:val="472B7DBA"/>
    <w:rsid w:val="473460BA"/>
    <w:rsid w:val="47493D73"/>
    <w:rsid w:val="47647B18"/>
    <w:rsid w:val="4771744E"/>
    <w:rsid w:val="4773626F"/>
    <w:rsid w:val="479009E9"/>
    <w:rsid w:val="47AB41C6"/>
    <w:rsid w:val="47AB5858"/>
    <w:rsid w:val="47C65AE0"/>
    <w:rsid w:val="47DC518A"/>
    <w:rsid w:val="47DD6023"/>
    <w:rsid w:val="47F461D0"/>
    <w:rsid w:val="48021D20"/>
    <w:rsid w:val="480B3AA1"/>
    <w:rsid w:val="48100516"/>
    <w:rsid w:val="48182FA3"/>
    <w:rsid w:val="481E0F96"/>
    <w:rsid w:val="482B10B3"/>
    <w:rsid w:val="482E665C"/>
    <w:rsid w:val="483A4A2F"/>
    <w:rsid w:val="48402A6B"/>
    <w:rsid w:val="484D7AE6"/>
    <w:rsid w:val="48526BD2"/>
    <w:rsid w:val="485C540E"/>
    <w:rsid w:val="48641A25"/>
    <w:rsid w:val="486A6174"/>
    <w:rsid w:val="487A5CE4"/>
    <w:rsid w:val="488A70A0"/>
    <w:rsid w:val="489E3DFA"/>
    <w:rsid w:val="489F1A32"/>
    <w:rsid w:val="48B55EF2"/>
    <w:rsid w:val="48BC5246"/>
    <w:rsid w:val="48CE085D"/>
    <w:rsid w:val="49063272"/>
    <w:rsid w:val="49154DEA"/>
    <w:rsid w:val="491F69AB"/>
    <w:rsid w:val="493B495E"/>
    <w:rsid w:val="49501368"/>
    <w:rsid w:val="49567AA8"/>
    <w:rsid w:val="496E375F"/>
    <w:rsid w:val="497C0831"/>
    <w:rsid w:val="49820212"/>
    <w:rsid w:val="49857FAC"/>
    <w:rsid w:val="499F39AF"/>
    <w:rsid w:val="49A144A1"/>
    <w:rsid w:val="49A64729"/>
    <w:rsid w:val="49AA1350"/>
    <w:rsid w:val="49CB6D8C"/>
    <w:rsid w:val="49CE72FB"/>
    <w:rsid w:val="49D527C7"/>
    <w:rsid w:val="49DA2085"/>
    <w:rsid w:val="49F309FE"/>
    <w:rsid w:val="4A0F6384"/>
    <w:rsid w:val="4A132E77"/>
    <w:rsid w:val="4A1A43D6"/>
    <w:rsid w:val="4A2B52DC"/>
    <w:rsid w:val="4A340A7F"/>
    <w:rsid w:val="4A41015F"/>
    <w:rsid w:val="4A420254"/>
    <w:rsid w:val="4A467ED5"/>
    <w:rsid w:val="4A4B19C0"/>
    <w:rsid w:val="4A5A0BC1"/>
    <w:rsid w:val="4A631F8D"/>
    <w:rsid w:val="4A67536A"/>
    <w:rsid w:val="4A824ECC"/>
    <w:rsid w:val="4A97464B"/>
    <w:rsid w:val="4AAA5D79"/>
    <w:rsid w:val="4AB31F70"/>
    <w:rsid w:val="4AB479AD"/>
    <w:rsid w:val="4ABA1183"/>
    <w:rsid w:val="4AE84C04"/>
    <w:rsid w:val="4AF41EC3"/>
    <w:rsid w:val="4B06675B"/>
    <w:rsid w:val="4B071EA7"/>
    <w:rsid w:val="4B0A7792"/>
    <w:rsid w:val="4B102858"/>
    <w:rsid w:val="4B1D404A"/>
    <w:rsid w:val="4B1D6860"/>
    <w:rsid w:val="4B3913E0"/>
    <w:rsid w:val="4B405EF3"/>
    <w:rsid w:val="4B43378F"/>
    <w:rsid w:val="4B691FB4"/>
    <w:rsid w:val="4B78376A"/>
    <w:rsid w:val="4B97645B"/>
    <w:rsid w:val="4BAA7821"/>
    <w:rsid w:val="4BB74642"/>
    <w:rsid w:val="4BB74E73"/>
    <w:rsid w:val="4BBF43B2"/>
    <w:rsid w:val="4BD019F4"/>
    <w:rsid w:val="4BDC4123"/>
    <w:rsid w:val="4BDE3B04"/>
    <w:rsid w:val="4BEC0201"/>
    <w:rsid w:val="4C0B5075"/>
    <w:rsid w:val="4C162D58"/>
    <w:rsid w:val="4C212A42"/>
    <w:rsid w:val="4C253897"/>
    <w:rsid w:val="4C28266E"/>
    <w:rsid w:val="4C582A94"/>
    <w:rsid w:val="4C8513D2"/>
    <w:rsid w:val="4C895C86"/>
    <w:rsid w:val="4C9038A8"/>
    <w:rsid w:val="4CAA5B9A"/>
    <w:rsid w:val="4CD914BA"/>
    <w:rsid w:val="4CE341F4"/>
    <w:rsid w:val="4CE4342E"/>
    <w:rsid w:val="4CE46BC2"/>
    <w:rsid w:val="4D24678E"/>
    <w:rsid w:val="4D4312A1"/>
    <w:rsid w:val="4D511A34"/>
    <w:rsid w:val="4D5E0EFA"/>
    <w:rsid w:val="4D76024F"/>
    <w:rsid w:val="4D841AA7"/>
    <w:rsid w:val="4D865ACB"/>
    <w:rsid w:val="4D904C4F"/>
    <w:rsid w:val="4D993A13"/>
    <w:rsid w:val="4D9971E4"/>
    <w:rsid w:val="4DA74020"/>
    <w:rsid w:val="4DA9231B"/>
    <w:rsid w:val="4DC64010"/>
    <w:rsid w:val="4DCD20DB"/>
    <w:rsid w:val="4DD4661F"/>
    <w:rsid w:val="4DEC5AE6"/>
    <w:rsid w:val="4DF92CEE"/>
    <w:rsid w:val="4DFC251F"/>
    <w:rsid w:val="4E1207D2"/>
    <w:rsid w:val="4E1C183C"/>
    <w:rsid w:val="4E243364"/>
    <w:rsid w:val="4E311692"/>
    <w:rsid w:val="4E3343DD"/>
    <w:rsid w:val="4E5A1AAC"/>
    <w:rsid w:val="4E796826"/>
    <w:rsid w:val="4E9D2E7D"/>
    <w:rsid w:val="4EA23511"/>
    <w:rsid w:val="4EA60DCF"/>
    <w:rsid w:val="4EB536C3"/>
    <w:rsid w:val="4EBA6825"/>
    <w:rsid w:val="4EC07358"/>
    <w:rsid w:val="4ED14E80"/>
    <w:rsid w:val="4EDB24EC"/>
    <w:rsid w:val="4EE475CD"/>
    <w:rsid w:val="4EF6134A"/>
    <w:rsid w:val="4F396529"/>
    <w:rsid w:val="4F3B7460"/>
    <w:rsid w:val="4F3D39E3"/>
    <w:rsid w:val="4F3E53FB"/>
    <w:rsid w:val="4F3F58B4"/>
    <w:rsid w:val="4F553197"/>
    <w:rsid w:val="4F577DFB"/>
    <w:rsid w:val="4F9B1494"/>
    <w:rsid w:val="4F9C5BE3"/>
    <w:rsid w:val="4FA77A5C"/>
    <w:rsid w:val="4FA951BE"/>
    <w:rsid w:val="4FA97ADE"/>
    <w:rsid w:val="4FB109E2"/>
    <w:rsid w:val="4FB64A96"/>
    <w:rsid w:val="4FC02E4C"/>
    <w:rsid w:val="4FD7450A"/>
    <w:rsid w:val="4FEA45AF"/>
    <w:rsid w:val="4FEA6AF9"/>
    <w:rsid w:val="4FEC4D03"/>
    <w:rsid w:val="4FEE0C77"/>
    <w:rsid w:val="4FFA5761"/>
    <w:rsid w:val="4FFE5B72"/>
    <w:rsid w:val="4FFF2311"/>
    <w:rsid w:val="500E7233"/>
    <w:rsid w:val="50123BC0"/>
    <w:rsid w:val="50125B57"/>
    <w:rsid w:val="504D7E75"/>
    <w:rsid w:val="50682657"/>
    <w:rsid w:val="506B057F"/>
    <w:rsid w:val="507E2149"/>
    <w:rsid w:val="5095221A"/>
    <w:rsid w:val="50AB00D6"/>
    <w:rsid w:val="50AE4856"/>
    <w:rsid w:val="50B421C0"/>
    <w:rsid w:val="50B70EA8"/>
    <w:rsid w:val="50BA6772"/>
    <w:rsid w:val="50BA6A29"/>
    <w:rsid w:val="50C21434"/>
    <w:rsid w:val="50CB601A"/>
    <w:rsid w:val="50D2253B"/>
    <w:rsid w:val="50E9548C"/>
    <w:rsid w:val="51147954"/>
    <w:rsid w:val="511928E6"/>
    <w:rsid w:val="51203A4C"/>
    <w:rsid w:val="51323DE6"/>
    <w:rsid w:val="513B6040"/>
    <w:rsid w:val="5144288F"/>
    <w:rsid w:val="51551C56"/>
    <w:rsid w:val="5156562C"/>
    <w:rsid w:val="51580054"/>
    <w:rsid w:val="51607F5A"/>
    <w:rsid w:val="51700899"/>
    <w:rsid w:val="51720702"/>
    <w:rsid w:val="517C3121"/>
    <w:rsid w:val="518202BE"/>
    <w:rsid w:val="519C68A1"/>
    <w:rsid w:val="519E309F"/>
    <w:rsid w:val="51A412E2"/>
    <w:rsid w:val="51A87C8F"/>
    <w:rsid w:val="51E14AA7"/>
    <w:rsid w:val="51E42B83"/>
    <w:rsid w:val="5204219E"/>
    <w:rsid w:val="520424E3"/>
    <w:rsid w:val="52255475"/>
    <w:rsid w:val="52313A50"/>
    <w:rsid w:val="52376D20"/>
    <w:rsid w:val="523D58A7"/>
    <w:rsid w:val="52423280"/>
    <w:rsid w:val="524D6857"/>
    <w:rsid w:val="52575742"/>
    <w:rsid w:val="527226C8"/>
    <w:rsid w:val="52894A70"/>
    <w:rsid w:val="5298788F"/>
    <w:rsid w:val="529E0B16"/>
    <w:rsid w:val="52C50716"/>
    <w:rsid w:val="52CF41E8"/>
    <w:rsid w:val="52DB52FD"/>
    <w:rsid w:val="52DC4993"/>
    <w:rsid w:val="52E746EE"/>
    <w:rsid w:val="52EC4975"/>
    <w:rsid w:val="52F67142"/>
    <w:rsid w:val="52F70FBA"/>
    <w:rsid w:val="530804F5"/>
    <w:rsid w:val="53250E5A"/>
    <w:rsid w:val="534E0588"/>
    <w:rsid w:val="53533D68"/>
    <w:rsid w:val="53640E00"/>
    <w:rsid w:val="536F7331"/>
    <w:rsid w:val="537417A0"/>
    <w:rsid w:val="537477FA"/>
    <w:rsid w:val="53943EC5"/>
    <w:rsid w:val="53A25708"/>
    <w:rsid w:val="53B20987"/>
    <w:rsid w:val="53B61EB6"/>
    <w:rsid w:val="53C05A2A"/>
    <w:rsid w:val="53D11DB1"/>
    <w:rsid w:val="53D577D4"/>
    <w:rsid w:val="53DA605F"/>
    <w:rsid w:val="53E4121C"/>
    <w:rsid w:val="53EC2B31"/>
    <w:rsid w:val="541B4773"/>
    <w:rsid w:val="541F4BD2"/>
    <w:rsid w:val="542127E0"/>
    <w:rsid w:val="54275947"/>
    <w:rsid w:val="54296790"/>
    <w:rsid w:val="54297599"/>
    <w:rsid w:val="54303C0B"/>
    <w:rsid w:val="54312CC8"/>
    <w:rsid w:val="544C70E7"/>
    <w:rsid w:val="544D6BBE"/>
    <w:rsid w:val="545F56B9"/>
    <w:rsid w:val="54620D56"/>
    <w:rsid w:val="54787CAD"/>
    <w:rsid w:val="5489248E"/>
    <w:rsid w:val="549B7E6E"/>
    <w:rsid w:val="54A52DAC"/>
    <w:rsid w:val="54A6722B"/>
    <w:rsid w:val="54AB3880"/>
    <w:rsid w:val="54B0008E"/>
    <w:rsid w:val="54BD190D"/>
    <w:rsid w:val="54C9247D"/>
    <w:rsid w:val="54CD2027"/>
    <w:rsid w:val="54D52281"/>
    <w:rsid w:val="54DA1EC9"/>
    <w:rsid w:val="54E4148C"/>
    <w:rsid w:val="54F175CD"/>
    <w:rsid w:val="54F86EE6"/>
    <w:rsid w:val="550E4252"/>
    <w:rsid w:val="5512161A"/>
    <w:rsid w:val="55242A6A"/>
    <w:rsid w:val="55291F94"/>
    <w:rsid w:val="552F1C26"/>
    <w:rsid w:val="5536195A"/>
    <w:rsid w:val="553E5310"/>
    <w:rsid w:val="5544709D"/>
    <w:rsid w:val="55470886"/>
    <w:rsid w:val="554E25E6"/>
    <w:rsid w:val="5557610F"/>
    <w:rsid w:val="555D65E0"/>
    <w:rsid w:val="556906FB"/>
    <w:rsid w:val="557821B0"/>
    <w:rsid w:val="557E1851"/>
    <w:rsid w:val="55860E87"/>
    <w:rsid w:val="559F369F"/>
    <w:rsid w:val="55A06469"/>
    <w:rsid w:val="55A1254A"/>
    <w:rsid w:val="55A133CC"/>
    <w:rsid w:val="55A723CA"/>
    <w:rsid w:val="55AC29A7"/>
    <w:rsid w:val="55AF2063"/>
    <w:rsid w:val="55B13F9B"/>
    <w:rsid w:val="55C200B3"/>
    <w:rsid w:val="55CD1D94"/>
    <w:rsid w:val="55DE3541"/>
    <w:rsid w:val="55E85158"/>
    <w:rsid w:val="55EB204B"/>
    <w:rsid w:val="55F9253B"/>
    <w:rsid w:val="56034097"/>
    <w:rsid w:val="56056413"/>
    <w:rsid w:val="56066F9E"/>
    <w:rsid w:val="560D6C4F"/>
    <w:rsid w:val="565C0EB4"/>
    <w:rsid w:val="56701729"/>
    <w:rsid w:val="56702CA3"/>
    <w:rsid w:val="569612D4"/>
    <w:rsid w:val="569C58AC"/>
    <w:rsid w:val="56A42D7A"/>
    <w:rsid w:val="56AC5ED0"/>
    <w:rsid w:val="56C22421"/>
    <w:rsid w:val="56C36F78"/>
    <w:rsid w:val="56CE3148"/>
    <w:rsid w:val="56DA1D2E"/>
    <w:rsid w:val="56F35790"/>
    <w:rsid w:val="56FD08DB"/>
    <w:rsid w:val="5706013F"/>
    <w:rsid w:val="5706053F"/>
    <w:rsid w:val="57080D76"/>
    <w:rsid w:val="570D1CEC"/>
    <w:rsid w:val="57122A24"/>
    <w:rsid w:val="571342F9"/>
    <w:rsid w:val="571516E2"/>
    <w:rsid w:val="5717709E"/>
    <w:rsid w:val="572312DA"/>
    <w:rsid w:val="572467F4"/>
    <w:rsid w:val="572B5180"/>
    <w:rsid w:val="572D0F79"/>
    <w:rsid w:val="573C66D7"/>
    <w:rsid w:val="574C43C6"/>
    <w:rsid w:val="5754101B"/>
    <w:rsid w:val="5768048A"/>
    <w:rsid w:val="576D057F"/>
    <w:rsid w:val="576F78E3"/>
    <w:rsid w:val="57726BDE"/>
    <w:rsid w:val="578215E2"/>
    <w:rsid w:val="579254D5"/>
    <w:rsid w:val="57996DF4"/>
    <w:rsid w:val="57AD3521"/>
    <w:rsid w:val="57B84C2F"/>
    <w:rsid w:val="57D26822"/>
    <w:rsid w:val="57D91D4A"/>
    <w:rsid w:val="57DF3FB5"/>
    <w:rsid w:val="57E056CD"/>
    <w:rsid w:val="57F30276"/>
    <w:rsid w:val="57FC314B"/>
    <w:rsid w:val="58176713"/>
    <w:rsid w:val="581827FB"/>
    <w:rsid w:val="581F6999"/>
    <w:rsid w:val="585551F6"/>
    <w:rsid w:val="585C7971"/>
    <w:rsid w:val="58620F63"/>
    <w:rsid w:val="5874191C"/>
    <w:rsid w:val="58853FDA"/>
    <w:rsid w:val="58A0799B"/>
    <w:rsid w:val="58AA6037"/>
    <w:rsid w:val="58AB175F"/>
    <w:rsid w:val="58B86A7D"/>
    <w:rsid w:val="58E96D46"/>
    <w:rsid w:val="590308F1"/>
    <w:rsid w:val="5912120B"/>
    <w:rsid w:val="59164C67"/>
    <w:rsid w:val="592177FC"/>
    <w:rsid w:val="594C08C5"/>
    <w:rsid w:val="59510834"/>
    <w:rsid w:val="59601FF5"/>
    <w:rsid w:val="59607284"/>
    <w:rsid w:val="59765EA8"/>
    <w:rsid w:val="59826597"/>
    <w:rsid w:val="598C189A"/>
    <w:rsid w:val="598C5A0F"/>
    <w:rsid w:val="598F30CA"/>
    <w:rsid w:val="59996DA9"/>
    <w:rsid w:val="59A10533"/>
    <w:rsid w:val="59AC79C1"/>
    <w:rsid w:val="59B27090"/>
    <w:rsid w:val="59B55F44"/>
    <w:rsid w:val="59BC6BA7"/>
    <w:rsid w:val="59C169F9"/>
    <w:rsid w:val="59C5056A"/>
    <w:rsid w:val="59CE0B0F"/>
    <w:rsid w:val="59D84247"/>
    <w:rsid w:val="59D87FB1"/>
    <w:rsid w:val="59E809F6"/>
    <w:rsid w:val="59F335EB"/>
    <w:rsid w:val="5A0F7D22"/>
    <w:rsid w:val="5A142930"/>
    <w:rsid w:val="5A1C2A4F"/>
    <w:rsid w:val="5A1E47E1"/>
    <w:rsid w:val="5A1F5929"/>
    <w:rsid w:val="5A413C03"/>
    <w:rsid w:val="5A445162"/>
    <w:rsid w:val="5A4C4B68"/>
    <w:rsid w:val="5A557173"/>
    <w:rsid w:val="5A5C7E2E"/>
    <w:rsid w:val="5A705B3D"/>
    <w:rsid w:val="5A721994"/>
    <w:rsid w:val="5A7C5126"/>
    <w:rsid w:val="5A7D61B6"/>
    <w:rsid w:val="5A855760"/>
    <w:rsid w:val="5A892F0E"/>
    <w:rsid w:val="5A9011C0"/>
    <w:rsid w:val="5A927B87"/>
    <w:rsid w:val="5A963A68"/>
    <w:rsid w:val="5A971A00"/>
    <w:rsid w:val="5A9B4B77"/>
    <w:rsid w:val="5A9F7CED"/>
    <w:rsid w:val="5AA1377D"/>
    <w:rsid w:val="5AA63755"/>
    <w:rsid w:val="5AAA16B8"/>
    <w:rsid w:val="5AAE0A6F"/>
    <w:rsid w:val="5AB52CFE"/>
    <w:rsid w:val="5ACF0318"/>
    <w:rsid w:val="5ADA6A1A"/>
    <w:rsid w:val="5ADF2C22"/>
    <w:rsid w:val="5AF50889"/>
    <w:rsid w:val="5AFD24BC"/>
    <w:rsid w:val="5B030BF9"/>
    <w:rsid w:val="5B0C0A05"/>
    <w:rsid w:val="5B1134F5"/>
    <w:rsid w:val="5B1C1330"/>
    <w:rsid w:val="5B1F4CF7"/>
    <w:rsid w:val="5B3175F5"/>
    <w:rsid w:val="5B604CDF"/>
    <w:rsid w:val="5B735FF0"/>
    <w:rsid w:val="5B7948CC"/>
    <w:rsid w:val="5B836749"/>
    <w:rsid w:val="5B86544E"/>
    <w:rsid w:val="5B87196B"/>
    <w:rsid w:val="5B943145"/>
    <w:rsid w:val="5B9C0AB8"/>
    <w:rsid w:val="5BA8657A"/>
    <w:rsid w:val="5BB5241F"/>
    <w:rsid w:val="5BB65ECE"/>
    <w:rsid w:val="5BCD736F"/>
    <w:rsid w:val="5BD22875"/>
    <w:rsid w:val="5BD30DD9"/>
    <w:rsid w:val="5BD7150F"/>
    <w:rsid w:val="5BDF7534"/>
    <w:rsid w:val="5BEC2ABA"/>
    <w:rsid w:val="5BEE3A39"/>
    <w:rsid w:val="5BF97E0E"/>
    <w:rsid w:val="5BFD3B7C"/>
    <w:rsid w:val="5C0346F9"/>
    <w:rsid w:val="5C20062E"/>
    <w:rsid w:val="5C241FE4"/>
    <w:rsid w:val="5C3C2A13"/>
    <w:rsid w:val="5C43267B"/>
    <w:rsid w:val="5C4D01C3"/>
    <w:rsid w:val="5C5B5829"/>
    <w:rsid w:val="5C646A2F"/>
    <w:rsid w:val="5C6C6BEE"/>
    <w:rsid w:val="5C6D6368"/>
    <w:rsid w:val="5C721A44"/>
    <w:rsid w:val="5C793DB9"/>
    <w:rsid w:val="5C835977"/>
    <w:rsid w:val="5C87750A"/>
    <w:rsid w:val="5C9F2E73"/>
    <w:rsid w:val="5C9F505D"/>
    <w:rsid w:val="5CA8185D"/>
    <w:rsid w:val="5CB66940"/>
    <w:rsid w:val="5CC93B10"/>
    <w:rsid w:val="5CD00AAC"/>
    <w:rsid w:val="5CD06D65"/>
    <w:rsid w:val="5CDE4D32"/>
    <w:rsid w:val="5D0576FB"/>
    <w:rsid w:val="5D0F7713"/>
    <w:rsid w:val="5D0F79D5"/>
    <w:rsid w:val="5D1A5E38"/>
    <w:rsid w:val="5D1E23A3"/>
    <w:rsid w:val="5D1E2984"/>
    <w:rsid w:val="5D2075CD"/>
    <w:rsid w:val="5D230391"/>
    <w:rsid w:val="5D2D0D77"/>
    <w:rsid w:val="5D314E09"/>
    <w:rsid w:val="5D3B7140"/>
    <w:rsid w:val="5D42534E"/>
    <w:rsid w:val="5D4A7AC5"/>
    <w:rsid w:val="5D5572D2"/>
    <w:rsid w:val="5D5B1D99"/>
    <w:rsid w:val="5D786332"/>
    <w:rsid w:val="5D8727E5"/>
    <w:rsid w:val="5D923BAB"/>
    <w:rsid w:val="5DA51F18"/>
    <w:rsid w:val="5DD11921"/>
    <w:rsid w:val="5DF617F0"/>
    <w:rsid w:val="5E236C8D"/>
    <w:rsid w:val="5E274DCC"/>
    <w:rsid w:val="5E3F47F3"/>
    <w:rsid w:val="5E55116E"/>
    <w:rsid w:val="5E595F4C"/>
    <w:rsid w:val="5E5C50BF"/>
    <w:rsid w:val="5E6425BF"/>
    <w:rsid w:val="5E65717E"/>
    <w:rsid w:val="5E7B58EC"/>
    <w:rsid w:val="5E7E23E2"/>
    <w:rsid w:val="5E7F0949"/>
    <w:rsid w:val="5E8A4453"/>
    <w:rsid w:val="5EC32768"/>
    <w:rsid w:val="5EC94197"/>
    <w:rsid w:val="5ED17E65"/>
    <w:rsid w:val="5EE0784A"/>
    <w:rsid w:val="5EE926E9"/>
    <w:rsid w:val="5EE97588"/>
    <w:rsid w:val="5EF20148"/>
    <w:rsid w:val="5F0A0081"/>
    <w:rsid w:val="5F141F50"/>
    <w:rsid w:val="5F1C7A1F"/>
    <w:rsid w:val="5F227206"/>
    <w:rsid w:val="5F341FF4"/>
    <w:rsid w:val="5F397D45"/>
    <w:rsid w:val="5F4B313B"/>
    <w:rsid w:val="5F4F5621"/>
    <w:rsid w:val="5F511BB1"/>
    <w:rsid w:val="5F5775AA"/>
    <w:rsid w:val="5F6A6C69"/>
    <w:rsid w:val="5F6D47BA"/>
    <w:rsid w:val="5F6E2DCA"/>
    <w:rsid w:val="5F8A282E"/>
    <w:rsid w:val="5F9E7BB8"/>
    <w:rsid w:val="5FB07AF0"/>
    <w:rsid w:val="5FC91D85"/>
    <w:rsid w:val="5FD81B05"/>
    <w:rsid w:val="5FD90E7D"/>
    <w:rsid w:val="5FF6336B"/>
    <w:rsid w:val="5FFB5E04"/>
    <w:rsid w:val="60185C59"/>
    <w:rsid w:val="60192CF8"/>
    <w:rsid w:val="601D2F02"/>
    <w:rsid w:val="603A3035"/>
    <w:rsid w:val="603B60D9"/>
    <w:rsid w:val="6058188D"/>
    <w:rsid w:val="6063674F"/>
    <w:rsid w:val="607E5C31"/>
    <w:rsid w:val="60AC1F87"/>
    <w:rsid w:val="60AC2592"/>
    <w:rsid w:val="60B37578"/>
    <w:rsid w:val="60BE5EA9"/>
    <w:rsid w:val="60D00471"/>
    <w:rsid w:val="60D30954"/>
    <w:rsid w:val="60DC14CC"/>
    <w:rsid w:val="60FF1406"/>
    <w:rsid w:val="612400B1"/>
    <w:rsid w:val="612537AE"/>
    <w:rsid w:val="61297814"/>
    <w:rsid w:val="613040B4"/>
    <w:rsid w:val="61314A3A"/>
    <w:rsid w:val="6141098D"/>
    <w:rsid w:val="61452F5E"/>
    <w:rsid w:val="61531DB2"/>
    <w:rsid w:val="615354A9"/>
    <w:rsid w:val="615833A3"/>
    <w:rsid w:val="61727C85"/>
    <w:rsid w:val="619448FF"/>
    <w:rsid w:val="61A575A0"/>
    <w:rsid w:val="61C806A8"/>
    <w:rsid w:val="61DF2556"/>
    <w:rsid w:val="61E11CAD"/>
    <w:rsid w:val="62147FBB"/>
    <w:rsid w:val="622C2057"/>
    <w:rsid w:val="622E58C5"/>
    <w:rsid w:val="626A0E6E"/>
    <w:rsid w:val="627403C2"/>
    <w:rsid w:val="628140A6"/>
    <w:rsid w:val="62890AE8"/>
    <w:rsid w:val="628E328B"/>
    <w:rsid w:val="629973BF"/>
    <w:rsid w:val="62A56970"/>
    <w:rsid w:val="62B32CEF"/>
    <w:rsid w:val="62BE511E"/>
    <w:rsid w:val="62F30A7A"/>
    <w:rsid w:val="62F3165E"/>
    <w:rsid w:val="630E2608"/>
    <w:rsid w:val="631E222D"/>
    <w:rsid w:val="63313EBB"/>
    <w:rsid w:val="6352647D"/>
    <w:rsid w:val="636076E3"/>
    <w:rsid w:val="636E5C34"/>
    <w:rsid w:val="637E0327"/>
    <w:rsid w:val="638D474D"/>
    <w:rsid w:val="6398005F"/>
    <w:rsid w:val="639B0953"/>
    <w:rsid w:val="639B3553"/>
    <w:rsid w:val="639E1342"/>
    <w:rsid w:val="63AD1985"/>
    <w:rsid w:val="63B27C01"/>
    <w:rsid w:val="63BD1CE7"/>
    <w:rsid w:val="63BE18E0"/>
    <w:rsid w:val="63D74E9F"/>
    <w:rsid w:val="63DE4354"/>
    <w:rsid w:val="63E741D8"/>
    <w:rsid w:val="63ED74DE"/>
    <w:rsid w:val="63F459FC"/>
    <w:rsid w:val="63F501CD"/>
    <w:rsid w:val="63F5766C"/>
    <w:rsid w:val="64071787"/>
    <w:rsid w:val="640A4139"/>
    <w:rsid w:val="640A5372"/>
    <w:rsid w:val="640D382E"/>
    <w:rsid w:val="640D4527"/>
    <w:rsid w:val="64133010"/>
    <w:rsid w:val="641C50A9"/>
    <w:rsid w:val="642A67B5"/>
    <w:rsid w:val="642E7CA6"/>
    <w:rsid w:val="64357417"/>
    <w:rsid w:val="643914E5"/>
    <w:rsid w:val="64526164"/>
    <w:rsid w:val="64595051"/>
    <w:rsid w:val="645A28E2"/>
    <w:rsid w:val="645E59AD"/>
    <w:rsid w:val="64605BF5"/>
    <w:rsid w:val="64671409"/>
    <w:rsid w:val="646D53B5"/>
    <w:rsid w:val="64701DBB"/>
    <w:rsid w:val="64825DAA"/>
    <w:rsid w:val="64956C03"/>
    <w:rsid w:val="64A67BDA"/>
    <w:rsid w:val="64E2162B"/>
    <w:rsid w:val="64E30C60"/>
    <w:rsid w:val="64E81568"/>
    <w:rsid w:val="64FD5601"/>
    <w:rsid w:val="650440FD"/>
    <w:rsid w:val="650613CD"/>
    <w:rsid w:val="65074D08"/>
    <w:rsid w:val="650E6BF3"/>
    <w:rsid w:val="6514292A"/>
    <w:rsid w:val="6518208F"/>
    <w:rsid w:val="65196556"/>
    <w:rsid w:val="6522710F"/>
    <w:rsid w:val="653D4102"/>
    <w:rsid w:val="65454B28"/>
    <w:rsid w:val="656A49DB"/>
    <w:rsid w:val="656A4C15"/>
    <w:rsid w:val="656E38CA"/>
    <w:rsid w:val="657A64BB"/>
    <w:rsid w:val="657F727A"/>
    <w:rsid w:val="6586068A"/>
    <w:rsid w:val="659324AD"/>
    <w:rsid w:val="65933814"/>
    <w:rsid w:val="65A92399"/>
    <w:rsid w:val="65AC519A"/>
    <w:rsid w:val="65C17E46"/>
    <w:rsid w:val="65CB63F8"/>
    <w:rsid w:val="65E62049"/>
    <w:rsid w:val="65E66712"/>
    <w:rsid w:val="65F51B70"/>
    <w:rsid w:val="66081FE4"/>
    <w:rsid w:val="660C6FF1"/>
    <w:rsid w:val="662373B1"/>
    <w:rsid w:val="66371620"/>
    <w:rsid w:val="663D08BC"/>
    <w:rsid w:val="66440A25"/>
    <w:rsid w:val="665937E3"/>
    <w:rsid w:val="666310EF"/>
    <w:rsid w:val="66783160"/>
    <w:rsid w:val="669C4BE2"/>
    <w:rsid w:val="66A80DB6"/>
    <w:rsid w:val="66AC74F5"/>
    <w:rsid w:val="66AD4091"/>
    <w:rsid w:val="66B036AA"/>
    <w:rsid w:val="66F824FD"/>
    <w:rsid w:val="66F84618"/>
    <w:rsid w:val="67065369"/>
    <w:rsid w:val="672002B4"/>
    <w:rsid w:val="672E2721"/>
    <w:rsid w:val="672F0BDE"/>
    <w:rsid w:val="674B2564"/>
    <w:rsid w:val="67576C8D"/>
    <w:rsid w:val="675E49E5"/>
    <w:rsid w:val="67767C08"/>
    <w:rsid w:val="67882F0A"/>
    <w:rsid w:val="67890635"/>
    <w:rsid w:val="67913AF7"/>
    <w:rsid w:val="679C7620"/>
    <w:rsid w:val="679E76E8"/>
    <w:rsid w:val="67A01D36"/>
    <w:rsid w:val="67B4221B"/>
    <w:rsid w:val="67B86043"/>
    <w:rsid w:val="67BC0790"/>
    <w:rsid w:val="67C06261"/>
    <w:rsid w:val="67D445C9"/>
    <w:rsid w:val="67DC2270"/>
    <w:rsid w:val="67EA1CBE"/>
    <w:rsid w:val="67EB4052"/>
    <w:rsid w:val="67EC26FF"/>
    <w:rsid w:val="67F23972"/>
    <w:rsid w:val="67FA0C15"/>
    <w:rsid w:val="680D2711"/>
    <w:rsid w:val="6821479D"/>
    <w:rsid w:val="682839A5"/>
    <w:rsid w:val="682A5E67"/>
    <w:rsid w:val="682C5482"/>
    <w:rsid w:val="68367249"/>
    <w:rsid w:val="68374713"/>
    <w:rsid w:val="684F7671"/>
    <w:rsid w:val="685B3DBC"/>
    <w:rsid w:val="686C4CA7"/>
    <w:rsid w:val="688E6B42"/>
    <w:rsid w:val="689046D8"/>
    <w:rsid w:val="689C19A7"/>
    <w:rsid w:val="68A04824"/>
    <w:rsid w:val="68A27318"/>
    <w:rsid w:val="68B83FCD"/>
    <w:rsid w:val="68BC5D09"/>
    <w:rsid w:val="68BF0A03"/>
    <w:rsid w:val="68C40153"/>
    <w:rsid w:val="68C512EC"/>
    <w:rsid w:val="68C61FAA"/>
    <w:rsid w:val="68CD3FED"/>
    <w:rsid w:val="68CE39B4"/>
    <w:rsid w:val="68D13AA5"/>
    <w:rsid w:val="68D47271"/>
    <w:rsid w:val="68DB58B3"/>
    <w:rsid w:val="68F87F8E"/>
    <w:rsid w:val="68FA7858"/>
    <w:rsid w:val="69017ACE"/>
    <w:rsid w:val="690D79E8"/>
    <w:rsid w:val="69144CC0"/>
    <w:rsid w:val="691F0694"/>
    <w:rsid w:val="6928006E"/>
    <w:rsid w:val="693A48DC"/>
    <w:rsid w:val="693D196D"/>
    <w:rsid w:val="69637FF4"/>
    <w:rsid w:val="69650C1F"/>
    <w:rsid w:val="69683388"/>
    <w:rsid w:val="69744451"/>
    <w:rsid w:val="69812368"/>
    <w:rsid w:val="698F102A"/>
    <w:rsid w:val="699A3830"/>
    <w:rsid w:val="69C35137"/>
    <w:rsid w:val="69CF6FFA"/>
    <w:rsid w:val="69D129B7"/>
    <w:rsid w:val="69D271BF"/>
    <w:rsid w:val="69E33811"/>
    <w:rsid w:val="69E678C6"/>
    <w:rsid w:val="69E83505"/>
    <w:rsid w:val="69E92D8D"/>
    <w:rsid w:val="69FF0DD3"/>
    <w:rsid w:val="6A1A7606"/>
    <w:rsid w:val="6A2229ED"/>
    <w:rsid w:val="6A3D2D19"/>
    <w:rsid w:val="6A763C2C"/>
    <w:rsid w:val="6A8022B0"/>
    <w:rsid w:val="6A843A8E"/>
    <w:rsid w:val="6A861B39"/>
    <w:rsid w:val="6A8A3413"/>
    <w:rsid w:val="6A912590"/>
    <w:rsid w:val="6A917224"/>
    <w:rsid w:val="6A9668E4"/>
    <w:rsid w:val="6A9C62FC"/>
    <w:rsid w:val="6A9F4252"/>
    <w:rsid w:val="6AA60058"/>
    <w:rsid w:val="6AA866BA"/>
    <w:rsid w:val="6AB774CE"/>
    <w:rsid w:val="6ABD3EE1"/>
    <w:rsid w:val="6ACB471C"/>
    <w:rsid w:val="6ACC00F1"/>
    <w:rsid w:val="6AD301C7"/>
    <w:rsid w:val="6ADA2E7B"/>
    <w:rsid w:val="6ADD40C5"/>
    <w:rsid w:val="6AFC0248"/>
    <w:rsid w:val="6AFC55FA"/>
    <w:rsid w:val="6B115076"/>
    <w:rsid w:val="6B15491F"/>
    <w:rsid w:val="6B1726BA"/>
    <w:rsid w:val="6B5F76FC"/>
    <w:rsid w:val="6B6E3E88"/>
    <w:rsid w:val="6B785B87"/>
    <w:rsid w:val="6B8A30B6"/>
    <w:rsid w:val="6B936FB3"/>
    <w:rsid w:val="6B9375DA"/>
    <w:rsid w:val="6BA32A9A"/>
    <w:rsid w:val="6BA76870"/>
    <w:rsid w:val="6BCE7DBE"/>
    <w:rsid w:val="6BD53BA1"/>
    <w:rsid w:val="6BD82EF3"/>
    <w:rsid w:val="6BDE7973"/>
    <w:rsid w:val="6BE04795"/>
    <w:rsid w:val="6BE65745"/>
    <w:rsid w:val="6BE912C0"/>
    <w:rsid w:val="6BEF1695"/>
    <w:rsid w:val="6BFD3F60"/>
    <w:rsid w:val="6C3001FD"/>
    <w:rsid w:val="6C365A73"/>
    <w:rsid w:val="6C4074E6"/>
    <w:rsid w:val="6C410C00"/>
    <w:rsid w:val="6C5C1842"/>
    <w:rsid w:val="6C6667F4"/>
    <w:rsid w:val="6C787E50"/>
    <w:rsid w:val="6C7B102A"/>
    <w:rsid w:val="6C7C6C3F"/>
    <w:rsid w:val="6C7C787B"/>
    <w:rsid w:val="6C7D2FC6"/>
    <w:rsid w:val="6C8665DA"/>
    <w:rsid w:val="6C8D532E"/>
    <w:rsid w:val="6C91192B"/>
    <w:rsid w:val="6C9E700E"/>
    <w:rsid w:val="6CA155DB"/>
    <w:rsid w:val="6CC43B00"/>
    <w:rsid w:val="6CCE108A"/>
    <w:rsid w:val="6CD450E0"/>
    <w:rsid w:val="6CD55849"/>
    <w:rsid w:val="6CED5377"/>
    <w:rsid w:val="6CEF7C48"/>
    <w:rsid w:val="6CF94688"/>
    <w:rsid w:val="6CFB34EE"/>
    <w:rsid w:val="6D000E28"/>
    <w:rsid w:val="6D0C719F"/>
    <w:rsid w:val="6D2E0652"/>
    <w:rsid w:val="6D3E131B"/>
    <w:rsid w:val="6D3E26F9"/>
    <w:rsid w:val="6D423A52"/>
    <w:rsid w:val="6D483A54"/>
    <w:rsid w:val="6D5118E8"/>
    <w:rsid w:val="6D573F20"/>
    <w:rsid w:val="6D5C2A44"/>
    <w:rsid w:val="6D5E3CE3"/>
    <w:rsid w:val="6D671D25"/>
    <w:rsid w:val="6D6856E5"/>
    <w:rsid w:val="6D6B17E5"/>
    <w:rsid w:val="6D735BE4"/>
    <w:rsid w:val="6D7F5EC2"/>
    <w:rsid w:val="6D8B4B30"/>
    <w:rsid w:val="6D904F42"/>
    <w:rsid w:val="6D9715BD"/>
    <w:rsid w:val="6DA4731F"/>
    <w:rsid w:val="6DB13D2D"/>
    <w:rsid w:val="6DB2311B"/>
    <w:rsid w:val="6DBC3827"/>
    <w:rsid w:val="6DF53564"/>
    <w:rsid w:val="6DF5617C"/>
    <w:rsid w:val="6DFD0284"/>
    <w:rsid w:val="6E0A7DDD"/>
    <w:rsid w:val="6E0D3544"/>
    <w:rsid w:val="6E1022F0"/>
    <w:rsid w:val="6E1C37FD"/>
    <w:rsid w:val="6E1E312F"/>
    <w:rsid w:val="6E204D42"/>
    <w:rsid w:val="6E2A0E29"/>
    <w:rsid w:val="6E2B6E8E"/>
    <w:rsid w:val="6E326006"/>
    <w:rsid w:val="6E3E2AAF"/>
    <w:rsid w:val="6E3F1EC0"/>
    <w:rsid w:val="6E5543E8"/>
    <w:rsid w:val="6E5F7C58"/>
    <w:rsid w:val="6E6F53F4"/>
    <w:rsid w:val="6E7B7BAA"/>
    <w:rsid w:val="6E831286"/>
    <w:rsid w:val="6E8668BA"/>
    <w:rsid w:val="6E96597A"/>
    <w:rsid w:val="6E9A4712"/>
    <w:rsid w:val="6EAF7C2E"/>
    <w:rsid w:val="6EC34399"/>
    <w:rsid w:val="6ECA2C6F"/>
    <w:rsid w:val="6ECF657F"/>
    <w:rsid w:val="6EE34E5E"/>
    <w:rsid w:val="6EE76820"/>
    <w:rsid w:val="6EEC5463"/>
    <w:rsid w:val="6F0309EC"/>
    <w:rsid w:val="6F0313A7"/>
    <w:rsid w:val="6F0C5AD3"/>
    <w:rsid w:val="6F255F77"/>
    <w:rsid w:val="6F26731D"/>
    <w:rsid w:val="6F3C2421"/>
    <w:rsid w:val="6F4833BA"/>
    <w:rsid w:val="6F4B5873"/>
    <w:rsid w:val="6F507CA6"/>
    <w:rsid w:val="6F5658FF"/>
    <w:rsid w:val="6F5F15A1"/>
    <w:rsid w:val="6F631E53"/>
    <w:rsid w:val="6F803C30"/>
    <w:rsid w:val="6F8B7E6D"/>
    <w:rsid w:val="6FA2172F"/>
    <w:rsid w:val="6FAD7B1E"/>
    <w:rsid w:val="6FB83BD1"/>
    <w:rsid w:val="6FC53A0A"/>
    <w:rsid w:val="6FE65CA0"/>
    <w:rsid w:val="6FEA320D"/>
    <w:rsid w:val="6FFC3729"/>
    <w:rsid w:val="6FFE5087"/>
    <w:rsid w:val="7017077B"/>
    <w:rsid w:val="701A7105"/>
    <w:rsid w:val="701C6D15"/>
    <w:rsid w:val="701D3556"/>
    <w:rsid w:val="701F43FF"/>
    <w:rsid w:val="703B3CDC"/>
    <w:rsid w:val="703D01FC"/>
    <w:rsid w:val="704010C3"/>
    <w:rsid w:val="7041576B"/>
    <w:rsid w:val="704548A7"/>
    <w:rsid w:val="705A4DC4"/>
    <w:rsid w:val="70647078"/>
    <w:rsid w:val="706E7317"/>
    <w:rsid w:val="70845523"/>
    <w:rsid w:val="7084764A"/>
    <w:rsid w:val="70854A38"/>
    <w:rsid w:val="708723E6"/>
    <w:rsid w:val="708A2370"/>
    <w:rsid w:val="70BC4224"/>
    <w:rsid w:val="70CA4F5A"/>
    <w:rsid w:val="70CB50D0"/>
    <w:rsid w:val="70DF6880"/>
    <w:rsid w:val="7110058F"/>
    <w:rsid w:val="712951F3"/>
    <w:rsid w:val="712A132D"/>
    <w:rsid w:val="713629C2"/>
    <w:rsid w:val="713C3EBC"/>
    <w:rsid w:val="714F69ED"/>
    <w:rsid w:val="716727F7"/>
    <w:rsid w:val="716F3D5E"/>
    <w:rsid w:val="7170513A"/>
    <w:rsid w:val="718A1659"/>
    <w:rsid w:val="71AD46A4"/>
    <w:rsid w:val="71B61B1C"/>
    <w:rsid w:val="71CD72E1"/>
    <w:rsid w:val="71D61FC3"/>
    <w:rsid w:val="71DA6848"/>
    <w:rsid w:val="71FC7B13"/>
    <w:rsid w:val="71FD52C7"/>
    <w:rsid w:val="72004364"/>
    <w:rsid w:val="720517C5"/>
    <w:rsid w:val="721106DE"/>
    <w:rsid w:val="722E114C"/>
    <w:rsid w:val="723C2C6B"/>
    <w:rsid w:val="72526494"/>
    <w:rsid w:val="726F1B71"/>
    <w:rsid w:val="72A64B0C"/>
    <w:rsid w:val="72AF099E"/>
    <w:rsid w:val="72BA21EC"/>
    <w:rsid w:val="72BE210D"/>
    <w:rsid w:val="72C12700"/>
    <w:rsid w:val="72C3290F"/>
    <w:rsid w:val="72D96C84"/>
    <w:rsid w:val="72E351D9"/>
    <w:rsid w:val="72FF12F4"/>
    <w:rsid w:val="72FF6EFE"/>
    <w:rsid w:val="73027750"/>
    <w:rsid w:val="730B5BE0"/>
    <w:rsid w:val="730E16F5"/>
    <w:rsid w:val="73136D7C"/>
    <w:rsid w:val="73142D7C"/>
    <w:rsid w:val="7320068E"/>
    <w:rsid w:val="7322413B"/>
    <w:rsid w:val="73234271"/>
    <w:rsid w:val="7335128C"/>
    <w:rsid w:val="733E26F2"/>
    <w:rsid w:val="7344665E"/>
    <w:rsid w:val="7358637A"/>
    <w:rsid w:val="73862281"/>
    <w:rsid w:val="73A27C94"/>
    <w:rsid w:val="73A4050B"/>
    <w:rsid w:val="73B6796A"/>
    <w:rsid w:val="73BC00A5"/>
    <w:rsid w:val="73C270AA"/>
    <w:rsid w:val="73C42DC8"/>
    <w:rsid w:val="73C720FE"/>
    <w:rsid w:val="73CC1F97"/>
    <w:rsid w:val="73D078A6"/>
    <w:rsid w:val="73DC3B42"/>
    <w:rsid w:val="73E70279"/>
    <w:rsid w:val="73F32AC4"/>
    <w:rsid w:val="74060A6D"/>
    <w:rsid w:val="741F4133"/>
    <w:rsid w:val="7426232E"/>
    <w:rsid w:val="743C4319"/>
    <w:rsid w:val="744A5EA4"/>
    <w:rsid w:val="745D0C05"/>
    <w:rsid w:val="74991692"/>
    <w:rsid w:val="749B7992"/>
    <w:rsid w:val="74A57094"/>
    <w:rsid w:val="74AB5407"/>
    <w:rsid w:val="74CB2099"/>
    <w:rsid w:val="74D419D6"/>
    <w:rsid w:val="74D9778D"/>
    <w:rsid w:val="74DE35DB"/>
    <w:rsid w:val="74EB460F"/>
    <w:rsid w:val="74F6043A"/>
    <w:rsid w:val="75062CD8"/>
    <w:rsid w:val="75077D81"/>
    <w:rsid w:val="75094C65"/>
    <w:rsid w:val="753379B0"/>
    <w:rsid w:val="75372CE8"/>
    <w:rsid w:val="756103A4"/>
    <w:rsid w:val="756D06E2"/>
    <w:rsid w:val="7587038F"/>
    <w:rsid w:val="75A0318F"/>
    <w:rsid w:val="75B52F82"/>
    <w:rsid w:val="75B82788"/>
    <w:rsid w:val="75BE79E3"/>
    <w:rsid w:val="75C12D2B"/>
    <w:rsid w:val="75D7160B"/>
    <w:rsid w:val="75DB19B2"/>
    <w:rsid w:val="75DD687C"/>
    <w:rsid w:val="75F426A1"/>
    <w:rsid w:val="75FD5F11"/>
    <w:rsid w:val="761B7FB5"/>
    <w:rsid w:val="761E7649"/>
    <w:rsid w:val="7623366B"/>
    <w:rsid w:val="762B0082"/>
    <w:rsid w:val="763B67EB"/>
    <w:rsid w:val="763F46B4"/>
    <w:rsid w:val="76532D0C"/>
    <w:rsid w:val="765A64B9"/>
    <w:rsid w:val="76797E02"/>
    <w:rsid w:val="768F0A9C"/>
    <w:rsid w:val="7696022E"/>
    <w:rsid w:val="769F3400"/>
    <w:rsid w:val="76A97E80"/>
    <w:rsid w:val="76AA64E6"/>
    <w:rsid w:val="76AD042D"/>
    <w:rsid w:val="76B540DB"/>
    <w:rsid w:val="76B6330F"/>
    <w:rsid w:val="76B84A6B"/>
    <w:rsid w:val="76C46139"/>
    <w:rsid w:val="76D171BB"/>
    <w:rsid w:val="76E039E1"/>
    <w:rsid w:val="76E26FB6"/>
    <w:rsid w:val="76F2395E"/>
    <w:rsid w:val="76F31266"/>
    <w:rsid w:val="77000FA8"/>
    <w:rsid w:val="77040D4E"/>
    <w:rsid w:val="77063A55"/>
    <w:rsid w:val="771071FF"/>
    <w:rsid w:val="77201F5A"/>
    <w:rsid w:val="772D539D"/>
    <w:rsid w:val="7738552A"/>
    <w:rsid w:val="77416220"/>
    <w:rsid w:val="77485F97"/>
    <w:rsid w:val="77500692"/>
    <w:rsid w:val="77530EC3"/>
    <w:rsid w:val="777E7888"/>
    <w:rsid w:val="778271A2"/>
    <w:rsid w:val="77827F3C"/>
    <w:rsid w:val="77845067"/>
    <w:rsid w:val="77852A7F"/>
    <w:rsid w:val="77B55F2E"/>
    <w:rsid w:val="77C80FCD"/>
    <w:rsid w:val="77D8618B"/>
    <w:rsid w:val="77E91EF5"/>
    <w:rsid w:val="780C794F"/>
    <w:rsid w:val="781047B3"/>
    <w:rsid w:val="7816305B"/>
    <w:rsid w:val="781F21E5"/>
    <w:rsid w:val="7825161E"/>
    <w:rsid w:val="783625E0"/>
    <w:rsid w:val="784255A8"/>
    <w:rsid w:val="78451312"/>
    <w:rsid w:val="785829AF"/>
    <w:rsid w:val="785F26C9"/>
    <w:rsid w:val="78606643"/>
    <w:rsid w:val="78790078"/>
    <w:rsid w:val="789913C0"/>
    <w:rsid w:val="78997B78"/>
    <w:rsid w:val="78A418EA"/>
    <w:rsid w:val="78B100A7"/>
    <w:rsid w:val="78C41D7A"/>
    <w:rsid w:val="78CB2F33"/>
    <w:rsid w:val="78DE650C"/>
    <w:rsid w:val="78E02677"/>
    <w:rsid w:val="78EE0E4F"/>
    <w:rsid w:val="78F46E96"/>
    <w:rsid w:val="78FC207D"/>
    <w:rsid w:val="78FE5FEE"/>
    <w:rsid w:val="791C38D3"/>
    <w:rsid w:val="79244401"/>
    <w:rsid w:val="7924462B"/>
    <w:rsid w:val="79244646"/>
    <w:rsid w:val="792B2CAD"/>
    <w:rsid w:val="792E0DEE"/>
    <w:rsid w:val="79317A55"/>
    <w:rsid w:val="794562E9"/>
    <w:rsid w:val="794D313C"/>
    <w:rsid w:val="79553294"/>
    <w:rsid w:val="7955762E"/>
    <w:rsid w:val="795667EE"/>
    <w:rsid w:val="795A1670"/>
    <w:rsid w:val="79641653"/>
    <w:rsid w:val="79664C14"/>
    <w:rsid w:val="79675ECA"/>
    <w:rsid w:val="796923EA"/>
    <w:rsid w:val="797263AE"/>
    <w:rsid w:val="79753740"/>
    <w:rsid w:val="79891237"/>
    <w:rsid w:val="799B2828"/>
    <w:rsid w:val="79C17D2F"/>
    <w:rsid w:val="79C97FB0"/>
    <w:rsid w:val="79D93AFA"/>
    <w:rsid w:val="79EA0FFD"/>
    <w:rsid w:val="79ED3649"/>
    <w:rsid w:val="7A0365DC"/>
    <w:rsid w:val="7A12263A"/>
    <w:rsid w:val="7A157FD2"/>
    <w:rsid w:val="7A2A1D2C"/>
    <w:rsid w:val="7A331F08"/>
    <w:rsid w:val="7A3F6347"/>
    <w:rsid w:val="7A494F6D"/>
    <w:rsid w:val="7A4C3830"/>
    <w:rsid w:val="7A671FF3"/>
    <w:rsid w:val="7A73178E"/>
    <w:rsid w:val="7A7F54F8"/>
    <w:rsid w:val="7A926788"/>
    <w:rsid w:val="7AA310F2"/>
    <w:rsid w:val="7ACF3C60"/>
    <w:rsid w:val="7AD02BF7"/>
    <w:rsid w:val="7ADC7DA0"/>
    <w:rsid w:val="7ADF7839"/>
    <w:rsid w:val="7AE26CCB"/>
    <w:rsid w:val="7AE57504"/>
    <w:rsid w:val="7AEC7EBF"/>
    <w:rsid w:val="7B004596"/>
    <w:rsid w:val="7B03791F"/>
    <w:rsid w:val="7B087857"/>
    <w:rsid w:val="7B0B7491"/>
    <w:rsid w:val="7B221D52"/>
    <w:rsid w:val="7B23033E"/>
    <w:rsid w:val="7B28618E"/>
    <w:rsid w:val="7B31659B"/>
    <w:rsid w:val="7B42499F"/>
    <w:rsid w:val="7B4310C8"/>
    <w:rsid w:val="7B6B4049"/>
    <w:rsid w:val="7B6D63F4"/>
    <w:rsid w:val="7B7142EA"/>
    <w:rsid w:val="7B7761D9"/>
    <w:rsid w:val="7B877C54"/>
    <w:rsid w:val="7B8C26DB"/>
    <w:rsid w:val="7BB77097"/>
    <w:rsid w:val="7BBA7BA5"/>
    <w:rsid w:val="7BC46081"/>
    <w:rsid w:val="7BCB22CD"/>
    <w:rsid w:val="7BDF77D2"/>
    <w:rsid w:val="7BE779B4"/>
    <w:rsid w:val="7BF72207"/>
    <w:rsid w:val="7BFD241F"/>
    <w:rsid w:val="7C0908E9"/>
    <w:rsid w:val="7C17381A"/>
    <w:rsid w:val="7C275A24"/>
    <w:rsid w:val="7C2D6C34"/>
    <w:rsid w:val="7C3779AA"/>
    <w:rsid w:val="7C447564"/>
    <w:rsid w:val="7C464BD1"/>
    <w:rsid w:val="7C5465CC"/>
    <w:rsid w:val="7C5A086B"/>
    <w:rsid w:val="7C5A4A36"/>
    <w:rsid w:val="7C5B25F7"/>
    <w:rsid w:val="7C5D28D4"/>
    <w:rsid w:val="7C5E1F8C"/>
    <w:rsid w:val="7C650448"/>
    <w:rsid w:val="7C9317D9"/>
    <w:rsid w:val="7C962608"/>
    <w:rsid w:val="7C9711B4"/>
    <w:rsid w:val="7CA36ACC"/>
    <w:rsid w:val="7CAE532D"/>
    <w:rsid w:val="7CAE73DF"/>
    <w:rsid w:val="7CDB126F"/>
    <w:rsid w:val="7CE36B2C"/>
    <w:rsid w:val="7CEC3BD7"/>
    <w:rsid w:val="7CF40623"/>
    <w:rsid w:val="7D0012C5"/>
    <w:rsid w:val="7D2840E2"/>
    <w:rsid w:val="7D323383"/>
    <w:rsid w:val="7D4209ED"/>
    <w:rsid w:val="7D473E80"/>
    <w:rsid w:val="7D484985"/>
    <w:rsid w:val="7D4F0106"/>
    <w:rsid w:val="7D516F35"/>
    <w:rsid w:val="7D5350DF"/>
    <w:rsid w:val="7D5356AC"/>
    <w:rsid w:val="7D590603"/>
    <w:rsid w:val="7D6A29C1"/>
    <w:rsid w:val="7D766F1F"/>
    <w:rsid w:val="7D7703E4"/>
    <w:rsid w:val="7D89693E"/>
    <w:rsid w:val="7D930D9E"/>
    <w:rsid w:val="7DA25346"/>
    <w:rsid w:val="7DB92F00"/>
    <w:rsid w:val="7DC80CCB"/>
    <w:rsid w:val="7DCD4688"/>
    <w:rsid w:val="7DD110DE"/>
    <w:rsid w:val="7DE72EED"/>
    <w:rsid w:val="7DE73EF7"/>
    <w:rsid w:val="7DF36EF8"/>
    <w:rsid w:val="7DFA0A6C"/>
    <w:rsid w:val="7E210E16"/>
    <w:rsid w:val="7E3430E6"/>
    <w:rsid w:val="7E391E27"/>
    <w:rsid w:val="7E480029"/>
    <w:rsid w:val="7E4E59A1"/>
    <w:rsid w:val="7E597CD7"/>
    <w:rsid w:val="7E623BDD"/>
    <w:rsid w:val="7E646C40"/>
    <w:rsid w:val="7E682AF4"/>
    <w:rsid w:val="7E907228"/>
    <w:rsid w:val="7E911484"/>
    <w:rsid w:val="7E9132FB"/>
    <w:rsid w:val="7EA52415"/>
    <w:rsid w:val="7EC06781"/>
    <w:rsid w:val="7ECF1F3E"/>
    <w:rsid w:val="7EDB452D"/>
    <w:rsid w:val="7EDF109A"/>
    <w:rsid w:val="7EE03421"/>
    <w:rsid w:val="7EE05793"/>
    <w:rsid w:val="7EE70BC1"/>
    <w:rsid w:val="7EF210A1"/>
    <w:rsid w:val="7EF35C84"/>
    <w:rsid w:val="7F0A4AEC"/>
    <w:rsid w:val="7F1F2CD5"/>
    <w:rsid w:val="7F202501"/>
    <w:rsid w:val="7F2E4DD6"/>
    <w:rsid w:val="7F397C9F"/>
    <w:rsid w:val="7F425028"/>
    <w:rsid w:val="7F511F5F"/>
    <w:rsid w:val="7F560CAF"/>
    <w:rsid w:val="7F7F111A"/>
    <w:rsid w:val="7F8D722F"/>
    <w:rsid w:val="7F9D7279"/>
    <w:rsid w:val="7FC441A9"/>
    <w:rsid w:val="7FD24120"/>
    <w:rsid w:val="7FE84A59"/>
    <w:rsid w:val="7FED7352"/>
    <w:rsid w:val="7FEF7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nhideWhenUsed="0" w:uiPriority="99" w:semiHidden="0" w:name="header"/>
    <w:lsdException w:qFormat="1"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semiHidden="0" w:name="List"/>
    <w:lsdException w:uiPriority="0" w:name="List Bullet"/>
    <w:lsdException w:uiPriority="0" w:name="List Number"/>
    <w:lsdException w:qFormat="1" w:uiPriority="99" w:semiHidden="0" w:name="List 2"/>
    <w:lsdException w:qFormat="1" w:uiPriority="99"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99" w:semiHidden="0" w:name="Date"/>
    <w:lsdException w:uiPriority="0" w:name="Body Text First Indent"/>
    <w:lsdException w:uiPriority="0" w:name="Body Text First Indent 2"/>
    <w:lsdException w:uiPriority="0" w:name="Note Heading"/>
    <w:lsdException w:qFormat="1" w:uiPriority="99" w:semiHidden="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2"/>
      <w:lang w:val="en-US" w:eastAsia="zh-CN" w:bidi="ar-SA"/>
    </w:rPr>
  </w:style>
  <w:style w:type="paragraph" w:styleId="2">
    <w:name w:val="heading 1"/>
    <w:basedOn w:val="1"/>
    <w:next w:val="1"/>
    <w:link w:val="93"/>
    <w:qFormat/>
    <w:uiPriority w:val="99"/>
    <w:pPr>
      <w:widowControl w:val="0"/>
      <w:numPr>
        <w:ilvl w:val="0"/>
        <w:numId w:val="1"/>
      </w:numPr>
      <w:autoSpaceDE w:val="0"/>
      <w:autoSpaceDN w:val="0"/>
      <w:adjustRightInd w:val="0"/>
      <w:spacing w:before="100" w:beforeAutospacing="1" w:after="100" w:afterAutospacing="1" w:line="360" w:lineRule="auto"/>
      <w:outlineLvl w:val="0"/>
    </w:pPr>
    <w:rPr>
      <w:rFonts w:eastAsia="黑体"/>
      <w:b/>
      <w:bCs/>
      <w:sz w:val="30"/>
      <w:szCs w:val="30"/>
      <w:lang w:val="zh-CN"/>
    </w:rPr>
  </w:style>
  <w:style w:type="paragraph" w:styleId="3">
    <w:name w:val="heading 2"/>
    <w:basedOn w:val="2"/>
    <w:next w:val="1"/>
    <w:link w:val="103"/>
    <w:qFormat/>
    <w:uiPriority w:val="0"/>
    <w:pPr>
      <w:keepNext/>
      <w:keepLines/>
      <w:numPr>
        <w:ilvl w:val="1"/>
      </w:numPr>
      <w:spacing w:line="240" w:lineRule="atLeast"/>
      <w:outlineLvl w:val="1"/>
    </w:pPr>
    <w:rPr>
      <w:rFonts w:eastAsia="宋体"/>
      <w:kern w:val="2"/>
      <w:sz w:val="24"/>
      <w:szCs w:val="24"/>
    </w:rPr>
  </w:style>
  <w:style w:type="paragraph" w:styleId="4">
    <w:name w:val="heading 3"/>
    <w:basedOn w:val="3"/>
    <w:next w:val="1"/>
    <w:link w:val="83"/>
    <w:qFormat/>
    <w:uiPriority w:val="9"/>
    <w:pPr>
      <w:numPr>
        <w:ilvl w:val="2"/>
        <w:numId w:val="2"/>
      </w:numPr>
      <w:tabs>
        <w:tab w:val="clear" w:pos="720"/>
      </w:tabs>
      <w:spacing w:before="260" w:after="76" w:line="416" w:lineRule="auto"/>
      <w:outlineLvl w:val="2"/>
    </w:pPr>
    <w:rPr>
      <w:szCs w:val="32"/>
    </w:rPr>
  </w:style>
  <w:style w:type="paragraph" w:styleId="5">
    <w:name w:val="heading 4"/>
    <w:basedOn w:val="4"/>
    <w:next w:val="1"/>
    <w:link w:val="95"/>
    <w:qFormat/>
    <w:uiPriority w:val="0"/>
    <w:pPr>
      <w:overflowPunct w:val="0"/>
      <w:textAlignment w:val="baseline"/>
      <w:outlineLvl w:val="3"/>
    </w:pPr>
    <w:rPr>
      <w:szCs w:val="28"/>
    </w:rPr>
  </w:style>
  <w:style w:type="paragraph" w:styleId="6">
    <w:name w:val="heading 5"/>
    <w:basedOn w:val="5"/>
    <w:next w:val="1"/>
    <w:link w:val="99"/>
    <w:qFormat/>
    <w:uiPriority w:val="0"/>
    <w:pPr>
      <w:spacing w:beforeLines="50"/>
      <w:outlineLvl w:val="4"/>
    </w:pPr>
    <w:rPr>
      <w:szCs w:val="24"/>
    </w:rPr>
  </w:style>
  <w:style w:type="paragraph" w:styleId="7">
    <w:name w:val="heading 6"/>
    <w:basedOn w:val="1"/>
    <w:next w:val="1"/>
    <w:link w:val="94"/>
    <w:qFormat/>
    <w:uiPriority w:val="9"/>
    <w:pPr>
      <w:keepNext/>
      <w:keepLines/>
      <w:numPr>
        <w:ilvl w:val="5"/>
        <w:numId w:val="1"/>
      </w:numPr>
      <w:tabs>
        <w:tab w:val="left" w:pos="432"/>
      </w:tabs>
      <w:spacing w:before="240" w:after="64" w:line="320" w:lineRule="auto"/>
      <w:outlineLvl w:val="5"/>
    </w:pPr>
    <w:rPr>
      <w:rFonts w:ascii="Cambria" w:hAnsi="Cambria" w:cs="黑体"/>
      <w:b/>
      <w:bCs/>
      <w:sz w:val="24"/>
      <w:szCs w:val="24"/>
    </w:rPr>
  </w:style>
  <w:style w:type="paragraph" w:styleId="8">
    <w:name w:val="heading 7"/>
    <w:basedOn w:val="1"/>
    <w:next w:val="1"/>
    <w:link w:val="84"/>
    <w:qFormat/>
    <w:uiPriority w:val="9"/>
    <w:pPr>
      <w:keepNext/>
      <w:keepLines/>
      <w:numPr>
        <w:ilvl w:val="6"/>
        <w:numId w:val="1"/>
      </w:numPr>
      <w:tabs>
        <w:tab w:val="left" w:pos="432"/>
      </w:tabs>
      <w:spacing w:before="240" w:after="64" w:line="320" w:lineRule="auto"/>
      <w:outlineLvl w:val="6"/>
    </w:pPr>
    <w:rPr>
      <w:b/>
      <w:bCs/>
      <w:sz w:val="24"/>
      <w:szCs w:val="24"/>
    </w:rPr>
  </w:style>
  <w:style w:type="paragraph" w:styleId="9">
    <w:name w:val="heading 8"/>
    <w:basedOn w:val="1"/>
    <w:next w:val="1"/>
    <w:link w:val="102"/>
    <w:qFormat/>
    <w:uiPriority w:val="9"/>
    <w:pPr>
      <w:keepNext/>
      <w:keepLines/>
      <w:numPr>
        <w:ilvl w:val="7"/>
        <w:numId w:val="1"/>
      </w:numPr>
      <w:tabs>
        <w:tab w:val="left" w:pos="432"/>
      </w:tabs>
      <w:spacing w:before="240" w:after="64" w:line="320" w:lineRule="auto"/>
      <w:outlineLvl w:val="7"/>
    </w:pPr>
    <w:rPr>
      <w:rFonts w:ascii="Cambria" w:hAnsi="Cambria" w:cs="黑体"/>
      <w:sz w:val="24"/>
      <w:szCs w:val="24"/>
    </w:rPr>
  </w:style>
  <w:style w:type="paragraph" w:styleId="10">
    <w:name w:val="heading 9"/>
    <w:basedOn w:val="1"/>
    <w:next w:val="1"/>
    <w:link w:val="96"/>
    <w:qFormat/>
    <w:uiPriority w:val="9"/>
    <w:pPr>
      <w:keepNext/>
      <w:keepLines/>
      <w:numPr>
        <w:ilvl w:val="8"/>
        <w:numId w:val="1"/>
      </w:numPr>
      <w:tabs>
        <w:tab w:val="left" w:pos="432"/>
      </w:tabs>
      <w:spacing w:before="240" w:after="64" w:line="320" w:lineRule="auto"/>
      <w:outlineLvl w:val="8"/>
    </w:pPr>
    <w:rPr>
      <w:rFonts w:ascii="Cambria" w:hAnsi="Cambria" w:cs="黑体"/>
      <w:sz w:val="21"/>
      <w:szCs w:val="21"/>
    </w:rPr>
  </w:style>
  <w:style w:type="character" w:default="1" w:styleId="30">
    <w:name w:val="Default Paragraph Font"/>
    <w:semiHidden/>
    <w:unhideWhenUsed/>
    <w:qFormat/>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ind w:firstLine="420"/>
      <w:jc w:val="both"/>
    </w:pPr>
    <w:rPr>
      <w:kern w:val="2"/>
      <w:sz w:val="21"/>
      <w:szCs w:val="20"/>
    </w:rPr>
  </w:style>
  <w:style w:type="paragraph" w:styleId="13">
    <w:name w:val="caption"/>
    <w:basedOn w:val="1"/>
    <w:next w:val="1"/>
    <w:link w:val="100"/>
    <w:qFormat/>
    <w:uiPriority w:val="0"/>
    <w:pPr>
      <w:tabs>
        <w:tab w:val="left" w:pos="1418"/>
      </w:tabs>
      <w:spacing w:before="120" w:after="120"/>
    </w:pPr>
    <w:rPr>
      <w:b/>
      <w:bCs/>
      <w:szCs w:val="20"/>
    </w:rPr>
  </w:style>
  <w:style w:type="paragraph" w:styleId="14">
    <w:name w:val="Document Map"/>
    <w:basedOn w:val="1"/>
    <w:link w:val="112"/>
    <w:unhideWhenUsed/>
    <w:qFormat/>
    <w:uiPriority w:val="99"/>
    <w:rPr>
      <w:rFonts w:ascii="宋体"/>
      <w:sz w:val="18"/>
      <w:szCs w:val="18"/>
    </w:rPr>
  </w:style>
  <w:style w:type="paragraph" w:styleId="15">
    <w:name w:val="annotation text"/>
    <w:basedOn w:val="1"/>
    <w:link w:val="106"/>
    <w:unhideWhenUsed/>
    <w:qFormat/>
    <w:uiPriority w:val="99"/>
    <w:rPr>
      <w:szCs w:val="20"/>
    </w:rPr>
  </w:style>
  <w:style w:type="paragraph" w:styleId="16">
    <w:name w:val="Body Text"/>
    <w:basedOn w:val="1"/>
    <w:link w:val="86"/>
    <w:qFormat/>
    <w:uiPriority w:val="0"/>
    <w:pPr>
      <w:widowControl w:val="0"/>
      <w:jc w:val="both"/>
    </w:pPr>
    <w:rPr>
      <w:color w:val="000000"/>
      <w:kern w:val="2"/>
      <w:sz w:val="21"/>
      <w:szCs w:val="20"/>
    </w:rPr>
  </w:style>
  <w:style w:type="paragraph" w:styleId="17">
    <w:name w:val="Body Text Indent"/>
    <w:basedOn w:val="1"/>
    <w:link w:val="101"/>
    <w:unhideWhenUsed/>
    <w:qFormat/>
    <w:uiPriority w:val="99"/>
    <w:pPr>
      <w:spacing w:after="120"/>
      <w:ind w:left="360"/>
    </w:pPr>
  </w:style>
  <w:style w:type="paragraph" w:styleId="18">
    <w:name w:val="List 2"/>
    <w:basedOn w:val="1"/>
    <w:unhideWhenUsed/>
    <w:qFormat/>
    <w:uiPriority w:val="99"/>
    <w:pPr>
      <w:ind w:left="851"/>
    </w:pPr>
  </w:style>
  <w:style w:type="paragraph" w:styleId="19">
    <w:name w:val="Plain Text"/>
    <w:basedOn w:val="1"/>
    <w:link w:val="97"/>
    <w:unhideWhenUsed/>
    <w:qFormat/>
    <w:uiPriority w:val="99"/>
    <w:rPr>
      <w:rFonts w:eastAsia="Calibri"/>
      <w:szCs w:val="21"/>
      <w:lang w:eastAsia="en-US"/>
    </w:rPr>
  </w:style>
  <w:style w:type="paragraph" w:styleId="20">
    <w:name w:val="Date"/>
    <w:basedOn w:val="1"/>
    <w:next w:val="1"/>
    <w:link w:val="87"/>
    <w:unhideWhenUsed/>
    <w:qFormat/>
    <w:uiPriority w:val="99"/>
    <w:pPr>
      <w:ind w:left="100" w:leftChars="2500"/>
    </w:pPr>
  </w:style>
  <w:style w:type="paragraph" w:styleId="21">
    <w:name w:val="Balloon Text"/>
    <w:basedOn w:val="1"/>
    <w:link w:val="110"/>
    <w:unhideWhenUsed/>
    <w:qFormat/>
    <w:uiPriority w:val="99"/>
    <w:rPr>
      <w:rFonts w:ascii="Tahoma" w:hAnsi="Tahoma"/>
      <w:sz w:val="16"/>
      <w:szCs w:val="16"/>
    </w:rPr>
  </w:style>
  <w:style w:type="paragraph" w:styleId="22">
    <w:name w:val="footer"/>
    <w:basedOn w:val="1"/>
    <w:link w:val="105"/>
    <w:unhideWhenUsed/>
    <w:qFormat/>
    <w:uiPriority w:val="99"/>
    <w:pPr>
      <w:tabs>
        <w:tab w:val="center" w:pos="4153"/>
        <w:tab w:val="right" w:pos="8306"/>
      </w:tabs>
      <w:snapToGrid w:val="0"/>
    </w:pPr>
    <w:rPr>
      <w:sz w:val="18"/>
      <w:szCs w:val="18"/>
    </w:rPr>
  </w:style>
  <w:style w:type="paragraph" w:styleId="23">
    <w:name w:val="header"/>
    <w:basedOn w:val="1"/>
    <w:link w:val="91"/>
    <w:qFormat/>
    <w:uiPriority w:val="99"/>
    <w:pPr>
      <w:tabs>
        <w:tab w:val="center" w:pos="4536"/>
        <w:tab w:val="right" w:pos="9072"/>
      </w:tabs>
    </w:pPr>
    <w:rPr>
      <w:rFonts w:ascii="Arial" w:hAnsi="Arial" w:eastAsia="MS Mincho"/>
      <w:b/>
      <w:szCs w:val="24"/>
      <w:lang w:eastAsia="en-US"/>
    </w:rPr>
  </w:style>
  <w:style w:type="paragraph" w:styleId="24">
    <w:name w:val="List"/>
    <w:basedOn w:val="1"/>
    <w:unhideWhenUsed/>
    <w:qFormat/>
    <w:uiPriority w:val="99"/>
    <w:pPr>
      <w:ind w:left="568" w:hanging="284"/>
    </w:pPr>
  </w:style>
  <w:style w:type="paragraph" w:styleId="25">
    <w:name w:val="Body Text 2"/>
    <w:basedOn w:val="1"/>
    <w:unhideWhenUsed/>
    <w:qFormat/>
    <w:uiPriority w:val="99"/>
    <w:pPr>
      <w:spacing w:before="120" w:beforeLines="50" w:after="120" w:afterLines="50"/>
      <w:jc w:val="both"/>
    </w:pPr>
    <w:rPr>
      <w:rFonts w:eastAsiaTheme="minorEastAsia"/>
      <w:sz w:val="22"/>
    </w:rPr>
  </w:style>
  <w:style w:type="paragraph" w:styleId="26">
    <w:name w:val="Normal (Web)"/>
    <w:basedOn w:val="1"/>
    <w:unhideWhenUsed/>
    <w:qFormat/>
    <w:uiPriority w:val="99"/>
    <w:rPr>
      <w:rFonts w:ascii="宋体" w:hAnsi="宋体" w:cs="宋体"/>
      <w:sz w:val="24"/>
      <w:szCs w:val="24"/>
    </w:rPr>
  </w:style>
  <w:style w:type="paragraph" w:styleId="27">
    <w:name w:val="annotation subject"/>
    <w:basedOn w:val="15"/>
    <w:next w:val="15"/>
    <w:link w:val="89"/>
    <w:unhideWhenUsed/>
    <w:qFormat/>
    <w:uiPriority w:val="99"/>
    <w:rPr>
      <w:b/>
      <w:bCs/>
    </w:r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1">
    <w:name w:val="Strong"/>
    <w:basedOn w:val="30"/>
    <w:qFormat/>
    <w:uiPriority w:val="22"/>
    <w:rPr>
      <w:b/>
    </w:rPr>
  </w:style>
  <w:style w:type="character" w:styleId="32">
    <w:name w:val="Emphasis"/>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paragraph" w:customStyle="1" w:styleId="35">
    <w:name w:val="TH"/>
    <w:basedOn w:val="1"/>
    <w:link w:val="85"/>
    <w:qFormat/>
    <w:uiPriority w:val="0"/>
    <w:pPr>
      <w:keepNext/>
      <w:keepLines/>
      <w:spacing w:before="60" w:after="180"/>
      <w:jc w:val="center"/>
    </w:pPr>
    <w:rPr>
      <w:rFonts w:ascii="Arial" w:hAnsi="Arial"/>
      <w:b/>
      <w:szCs w:val="20"/>
      <w:lang w:eastAsia="en-US"/>
    </w:rPr>
  </w:style>
  <w:style w:type="paragraph" w:customStyle="1" w:styleId="36">
    <w:name w:val="列出段落5"/>
    <w:basedOn w:val="1"/>
    <w:unhideWhenUsed/>
    <w:qFormat/>
    <w:uiPriority w:val="99"/>
    <w:pPr>
      <w:ind w:firstLine="420" w:firstLineChars="200"/>
    </w:pPr>
  </w:style>
  <w:style w:type="paragraph" w:customStyle="1" w:styleId="37">
    <w:name w:val="EQ"/>
    <w:basedOn w:val="1"/>
    <w:next w:val="1"/>
    <w:qFormat/>
    <w:uiPriority w:val="0"/>
    <w:pPr>
      <w:keepLines/>
      <w:tabs>
        <w:tab w:val="center" w:pos="4536"/>
        <w:tab w:val="right" w:pos="9072"/>
      </w:tabs>
      <w:overflowPunct w:val="0"/>
      <w:spacing w:after="180"/>
      <w:textAlignment w:val="baseline"/>
    </w:pPr>
  </w:style>
  <w:style w:type="paragraph" w:customStyle="1" w:styleId="38">
    <w:name w:val="样式 ！正文"/>
    <w:basedOn w:val="1"/>
    <w:qFormat/>
    <w:uiPriority w:val="0"/>
    <w:pPr>
      <w:widowControl w:val="0"/>
      <w:spacing w:before="40" w:after="40" w:line="300" w:lineRule="auto"/>
      <w:ind w:firstLine="420"/>
      <w:jc w:val="both"/>
    </w:pPr>
    <w:rPr>
      <w:rFonts w:cs="宋体"/>
      <w:kern w:val="2"/>
      <w:sz w:val="21"/>
      <w:szCs w:val="20"/>
    </w:rPr>
  </w:style>
  <w:style w:type="paragraph" w:customStyle="1" w:styleId="39">
    <w:name w:val="List Paragraph5"/>
    <w:basedOn w:val="1"/>
    <w:qFormat/>
    <w:uiPriority w:val="99"/>
    <w:pPr>
      <w:ind w:firstLine="420" w:firstLineChars="200"/>
    </w:pPr>
  </w:style>
  <w:style w:type="paragraph" w:customStyle="1" w:styleId="40">
    <w:name w:val="CR Cover Page"/>
    <w:qFormat/>
    <w:uiPriority w:val="0"/>
    <w:pPr>
      <w:spacing w:after="120"/>
    </w:pPr>
    <w:rPr>
      <w:rFonts w:ascii="Arial" w:hAnsi="Arial" w:eastAsia="宋体" w:cs="Times New Roman"/>
      <w:sz w:val="21"/>
      <w:szCs w:val="22"/>
      <w:lang w:val="en-GB" w:eastAsia="en-US" w:bidi="ar-SA"/>
    </w:rPr>
  </w:style>
  <w:style w:type="paragraph" w:customStyle="1" w:styleId="41">
    <w:name w:val="TAH"/>
    <w:basedOn w:val="42"/>
    <w:link w:val="118"/>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b/>
    </w:rPr>
  </w:style>
  <w:style w:type="paragraph" w:customStyle="1" w:styleId="42">
    <w:name w:val="TAC"/>
    <w:basedOn w:val="43"/>
    <w:link w:val="117"/>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center"/>
    </w:pPr>
    <w:rPr>
      <w:szCs w:val="20"/>
      <w:lang w:eastAsia="en-US"/>
    </w:rPr>
  </w:style>
  <w:style w:type="paragraph" w:customStyle="1" w:styleId="43">
    <w:name w:val="TAL"/>
    <w:basedOn w:val="1"/>
    <w:qFormat/>
    <w:uiPriority w:val="0"/>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rFonts w:ascii="Arial" w:hAnsi="Arial"/>
      <w:sz w:val="18"/>
    </w:rPr>
  </w:style>
  <w:style w:type="paragraph" w:customStyle="1" w:styleId="44">
    <w:name w:val="列出段落4"/>
    <w:basedOn w:val="1"/>
    <w:qFormat/>
    <w:uiPriority w:val="99"/>
    <w:pPr>
      <w:ind w:firstLine="420" w:firstLineChars="200"/>
    </w:pPr>
  </w:style>
  <w:style w:type="paragraph" w:customStyle="1" w:styleId="45">
    <w:name w:val="LGTdoc_본문"/>
    <w:basedOn w:val="1"/>
    <w:qFormat/>
    <w:uiPriority w:val="0"/>
    <w:pPr>
      <w:widowControl w:val="0"/>
      <w:autoSpaceDE w:val="0"/>
      <w:autoSpaceDN w:val="0"/>
      <w:adjustRightInd w:val="0"/>
      <w:snapToGrid w:val="0"/>
      <w:spacing w:afterLines="50" w:line="264" w:lineRule="auto"/>
      <w:jc w:val="both"/>
    </w:pPr>
    <w:rPr>
      <w:kern w:val="2"/>
      <w:sz w:val="22"/>
      <w:lang w:eastAsia="ko-KR"/>
    </w:rPr>
  </w:style>
  <w:style w:type="paragraph" w:customStyle="1" w:styleId="46">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47">
    <w:name w:val="TAN"/>
    <w:basedOn w:val="1"/>
    <w:qFormat/>
    <w:uiPriority w:val="0"/>
    <w:pPr>
      <w:keepNext/>
      <w:keepLines/>
      <w:ind w:left="851" w:hanging="851"/>
    </w:pPr>
    <w:rPr>
      <w:rFonts w:ascii="Arial" w:hAnsi="Arial"/>
      <w:sz w:val="18"/>
      <w:szCs w:val="20"/>
      <w:lang w:eastAsia="en-US"/>
    </w:rPr>
  </w:style>
  <w:style w:type="paragraph" w:customStyle="1" w:styleId="48">
    <w:name w:val="列出段落1"/>
    <w:basedOn w:val="1"/>
    <w:qFormat/>
    <w:uiPriority w:val="34"/>
    <w:pPr>
      <w:ind w:left="840" w:leftChars="400"/>
    </w:pPr>
    <w:rPr>
      <w:rFonts w:ascii="Times" w:hAnsi="Times" w:eastAsia="Batang"/>
      <w:szCs w:val="24"/>
      <w:lang w:val="en-GB"/>
    </w:rPr>
  </w:style>
  <w:style w:type="paragraph" w:customStyle="1" w:styleId="49">
    <w:name w:val="修订2"/>
    <w:semiHidden/>
    <w:qFormat/>
    <w:uiPriority w:val="99"/>
    <w:rPr>
      <w:rFonts w:ascii="Times New Roman" w:hAnsi="Times New Roman" w:eastAsia="宋体" w:cs="Times New Roman"/>
      <w:szCs w:val="22"/>
      <w:lang w:val="en-US" w:eastAsia="zh-CN" w:bidi="ar-SA"/>
    </w:rPr>
  </w:style>
  <w:style w:type="paragraph" w:customStyle="1" w:styleId="50">
    <w:name w:val="List Paragraph4"/>
    <w:basedOn w:val="1"/>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720"/>
      <w:contextualSpacing/>
    </w:pPr>
    <w:rPr>
      <w:sz w:val="24"/>
    </w:rPr>
  </w:style>
  <w:style w:type="paragraph" w:customStyle="1" w:styleId="51">
    <w:name w:val="List Paragraph9"/>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firstLine="420" w:firstLineChars="200"/>
    </w:pPr>
    <w:rPr>
      <w:rFonts w:eastAsia="宋体"/>
    </w:rPr>
  </w:style>
  <w:style w:type="paragraph" w:customStyle="1" w:styleId="52">
    <w:name w:val="List Paragraph3"/>
    <w:basedOn w:val="1"/>
    <w:qFormat/>
    <w:uiPriority w:val="99"/>
    <w:pPr>
      <w:ind w:firstLine="420" w:firstLineChars="200"/>
    </w:pPr>
  </w:style>
  <w:style w:type="paragraph" w:customStyle="1" w:styleId="53">
    <w:name w:val="Doc-text2"/>
    <w:basedOn w:val="1"/>
    <w:link w:val="113"/>
    <w:qFormat/>
    <w:uiPriority w:val="0"/>
    <w:pPr>
      <w:tabs>
        <w:tab w:val="left" w:pos="1622"/>
      </w:tabs>
      <w:ind w:left="1622" w:hanging="363"/>
    </w:pPr>
    <w:rPr>
      <w:rFonts w:ascii="Arial" w:hAnsi="Arial" w:eastAsia="MS Mincho"/>
      <w:szCs w:val="24"/>
    </w:rPr>
  </w:style>
  <w:style w:type="paragraph" w:customStyle="1" w:styleId="54">
    <w:name w:val="B2"/>
    <w:basedOn w:val="18"/>
    <w:qFormat/>
    <w:uiPriority w:val="0"/>
  </w:style>
  <w:style w:type="paragraph" w:customStyle="1" w:styleId="55">
    <w:name w:val="TF"/>
    <w:basedOn w:val="35"/>
    <w:link w:val="92"/>
    <w:qFormat/>
    <w:uiPriority w:val="0"/>
    <w:pPr>
      <w:keepNext w:val="0"/>
      <w:spacing w:before="0" w:after="240"/>
    </w:pPr>
    <w:rPr>
      <w:lang w:val="en-GB"/>
    </w:rPr>
  </w:style>
  <w:style w:type="paragraph" w:customStyle="1" w:styleId="56">
    <w:name w:val="z-窗体底端1"/>
    <w:basedOn w:val="1"/>
    <w:next w:val="1"/>
    <w:link w:val="108"/>
    <w:unhideWhenUsed/>
    <w:qFormat/>
    <w:uiPriority w:val="99"/>
    <w:pPr>
      <w:pBdr>
        <w:top w:val="single" w:color="auto" w:sz="6" w:space="1"/>
      </w:pBdr>
      <w:jc w:val="center"/>
    </w:pPr>
    <w:rPr>
      <w:rFonts w:ascii="Arial" w:hAnsi="Arial"/>
      <w:vanish/>
      <w:sz w:val="16"/>
      <w:szCs w:val="16"/>
    </w:rPr>
  </w:style>
  <w:style w:type="paragraph" w:customStyle="1" w:styleId="57">
    <w:name w:val="修订1"/>
    <w:semiHidden/>
    <w:qFormat/>
    <w:uiPriority w:val="99"/>
    <w:rPr>
      <w:rFonts w:ascii="Calibri" w:hAnsi="Calibri" w:eastAsia="宋体" w:cs="Times New Roman"/>
      <w:sz w:val="22"/>
      <w:szCs w:val="22"/>
      <w:lang w:val="en-US" w:eastAsia="zh-CN" w:bidi="ar-SA"/>
    </w:rPr>
  </w:style>
  <w:style w:type="paragraph" w:customStyle="1" w:styleId="58">
    <w:name w:val="_Style 55"/>
    <w:unhideWhenUsed/>
    <w:qFormat/>
    <w:uiPriority w:val="99"/>
    <w:rPr>
      <w:rFonts w:ascii="Times New Roman" w:hAnsi="Times New Roman" w:eastAsia="Times New Roman" w:cs="Times New Roman"/>
      <w:szCs w:val="22"/>
      <w:lang w:val="en-US" w:eastAsia="zh-CN" w:bidi="ar-SA"/>
    </w:rPr>
  </w:style>
  <w:style w:type="paragraph" w:customStyle="1" w:styleId="59">
    <w:name w:val="_Style 10"/>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840" w:leftChars="400"/>
    </w:pPr>
  </w:style>
  <w:style w:type="paragraph" w:customStyle="1" w:styleId="60">
    <w:name w:val="B3"/>
    <w:basedOn w:val="11"/>
    <w:qFormat/>
    <w:uiPriority w:val="0"/>
    <w:pPr>
      <w:spacing w:after="180"/>
      <w:ind w:left="1135" w:leftChars="0" w:hanging="284" w:firstLineChars="0"/>
    </w:pPr>
    <w:rPr>
      <w:rFonts w:eastAsia="MS Mincho"/>
      <w:szCs w:val="20"/>
      <w:lang w:eastAsia="en-US"/>
    </w:rPr>
  </w:style>
  <w:style w:type="paragraph" w:customStyle="1" w:styleId="61">
    <w:name w:val="RAN1 text"/>
    <w:basedOn w:val="16"/>
    <w:qFormat/>
    <w:uiPriority w:val="0"/>
    <w:rPr>
      <w:rFonts w:eastAsia="MS Mincho"/>
    </w:rPr>
  </w:style>
  <w:style w:type="paragraph" w:customStyle="1" w:styleId="62">
    <w:name w:val="列出段落3"/>
    <w:basedOn w:val="1"/>
    <w:qFormat/>
    <w:uiPriority w:val="99"/>
    <w:pPr>
      <w:ind w:firstLine="420" w:firstLineChars="200"/>
    </w:pPr>
  </w:style>
  <w:style w:type="paragraph" w:customStyle="1" w:styleId="63">
    <w:name w:val="_Style 1"/>
    <w:basedOn w:val="1"/>
    <w:qFormat/>
    <w:uiPriority w:val="34"/>
    <w:pPr>
      <w:ind w:left="840" w:leftChars="400"/>
    </w:pPr>
  </w:style>
  <w:style w:type="paragraph" w:customStyle="1" w:styleId="64">
    <w:name w:val="列出段落2"/>
    <w:basedOn w:val="1"/>
    <w:qFormat/>
    <w:uiPriority w:val="99"/>
    <w:pPr>
      <w:ind w:left="720"/>
      <w:contextualSpacing/>
    </w:pPr>
  </w:style>
  <w:style w:type="paragraph" w:customStyle="1" w:styleId="65">
    <w:name w:val="B1"/>
    <w:basedOn w:val="24"/>
    <w:qFormat/>
    <w:uiPriority w:val="0"/>
  </w:style>
  <w:style w:type="paragraph" w:customStyle="1" w:styleId="66">
    <w:name w:val="List Paragraph1"/>
    <w:basedOn w:val="1"/>
    <w:unhideWhenUsed/>
    <w:qFormat/>
    <w:uiPriority w:val="99"/>
    <w:pPr>
      <w:ind w:firstLine="420" w:firstLineChars="200"/>
    </w:pPr>
  </w:style>
  <w:style w:type="paragraph" w:customStyle="1" w:styleId="67">
    <w:name w:val="列出段落11"/>
    <w:basedOn w:val="1"/>
    <w:link w:val="90"/>
    <w:qFormat/>
    <w:uiPriority w:val="34"/>
    <w:pPr>
      <w:widowControl w:val="0"/>
      <w:ind w:firstLine="420" w:firstLineChars="200"/>
      <w:jc w:val="both"/>
    </w:pPr>
    <w:rPr>
      <w:kern w:val="2"/>
      <w:sz w:val="21"/>
      <w:szCs w:val="24"/>
    </w:rPr>
  </w:style>
  <w:style w:type="paragraph" w:customStyle="1" w:styleId="68">
    <w:name w:val="Revision2"/>
    <w:unhideWhenUsed/>
    <w:qFormat/>
    <w:uiPriority w:val="99"/>
    <w:rPr>
      <w:rFonts w:ascii="Times New Roman" w:hAnsi="Times New Roman" w:eastAsia="Times New Roman" w:cs="Times New Roman"/>
      <w:szCs w:val="22"/>
      <w:lang w:val="en-US" w:eastAsia="zh-CN" w:bidi="ar-SA"/>
    </w:rPr>
  </w:style>
  <w:style w:type="paragraph" w:customStyle="1" w:styleId="69">
    <w:name w:val="List Paragraph7"/>
    <w:basedOn w:val="1"/>
    <w:qFormat/>
    <w:uiPriority w:val="34"/>
    <w:pPr>
      <w:ind w:firstLine="420"/>
    </w:pPr>
    <w:rPr>
      <w:rFonts w:ascii="MS PGothic" w:hAnsi="MS PGothic" w:eastAsia="MS PGothic" w:cs="宋体"/>
      <w:sz w:val="24"/>
      <w:szCs w:val="24"/>
    </w:rPr>
  </w:style>
  <w:style w:type="paragraph" w:customStyle="1" w:styleId="70">
    <w:name w:val="表格文字居左"/>
    <w:basedOn w:val="1"/>
    <w:next w:val="1"/>
    <w:qFormat/>
    <w:uiPriority w:val="0"/>
    <w:pPr>
      <w:widowControl w:val="0"/>
      <w:jc w:val="both"/>
    </w:pPr>
    <w:rPr>
      <w:rFonts w:ascii="Arial" w:hAnsi="Arial" w:cs="宋体"/>
      <w:kern w:val="2"/>
      <w:sz w:val="21"/>
      <w:szCs w:val="20"/>
    </w:rPr>
  </w:style>
  <w:style w:type="paragraph" w:customStyle="1" w:styleId="71">
    <w:name w:val="_Style 3"/>
    <w:basedOn w:val="1"/>
    <w:qFormat/>
    <w:uiPriority w:val="34"/>
    <w:pPr>
      <w:ind w:left="840" w:leftChars="400"/>
    </w:p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szCs w:val="22"/>
      <w:lang w:val="en-US" w:eastAsia="zh-CN" w:bidi="ar-SA"/>
    </w:rPr>
  </w:style>
  <w:style w:type="paragraph" w:customStyle="1" w:styleId="73">
    <w:name w:val="List Paragraph6"/>
    <w:basedOn w:val="1"/>
    <w:qFormat/>
    <w:uiPriority w:val="99"/>
    <w:pPr>
      <w:ind w:firstLine="420" w:firstLineChars="200"/>
    </w:pPr>
  </w:style>
  <w:style w:type="paragraph" w:customStyle="1" w:styleId="74">
    <w:name w:val="tablecell"/>
    <w:basedOn w:val="1"/>
    <w:qFormat/>
    <w:uiPriority w:val="0"/>
    <w:pPr>
      <w:autoSpaceDE w:val="0"/>
      <w:autoSpaceDN w:val="0"/>
      <w:adjustRightInd w:val="0"/>
      <w:snapToGrid w:val="0"/>
      <w:spacing w:before="40" w:after="40"/>
    </w:pPr>
    <w:rPr>
      <w:lang w:eastAsia="en-US"/>
    </w:rPr>
  </w:style>
  <w:style w:type="paragraph" w:customStyle="1" w:styleId="75">
    <w:name w:val="tableheader"/>
    <w:basedOn w:val="1"/>
    <w:qFormat/>
    <w:uiPriority w:val="0"/>
    <w:pPr>
      <w:snapToGrid w:val="0"/>
      <w:spacing w:before="40" w:after="40"/>
      <w:jc w:val="center"/>
    </w:pPr>
    <w:rPr>
      <w:rFonts w:cs="Calibri"/>
      <w:b/>
      <w:bCs/>
      <w:color w:val="000000"/>
      <w:lang w:eastAsia="en-US"/>
    </w:rPr>
  </w:style>
  <w:style w:type="paragraph" w:customStyle="1" w:styleId="76">
    <w:name w:val="Test"/>
    <w:basedOn w:val="1"/>
    <w:qFormat/>
    <w:uiPriority w:val="0"/>
    <w:pPr>
      <w:spacing w:before="60" w:after="60" w:line="280" w:lineRule="atLeast"/>
      <w:ind w:left="2160"/>
      <w:jc w:val="both"/>
    </w:pPr>
    <w:rPr>
      <w:rFonts w:eastAsia="MS Mincho"/>
      <w:szCs w:val="20"/>
      <w:lang w:eastAsia="en-US"/>
    </w:rPr>
  </w:style>
  <w:style w:type="paragraph" w:customStyle="1" w:styleId="77">
    <w:name w:val="main text"/>
    <w:basedOn w:val="1"/>
    <w:link w:val="109"/>
    <w:qFormat/>
    <w:uiPriority w:val="0"/>
    <w:pPr>
      <w:spacing w:before="60" w:after="60" w:line="288" w:lineRule="auto"/>
      <w:ind w:firstLine="200" w:firstLineChars="200"/>
      <w:jc w:val="both"/>
    </w:pPr>
    <w:rPr>
      <w:rFonts w:eastAsia="Malgun Gothic"/>
      <w:szCs w:val="20"/>
      <w:lang w:eastAsia="ko-KR"/>
    </w:rPr>
  </w:style>
  <w:style w:type="paragraph" w:customStyle="1" w:styleId="78">
    <w:name w:val="Revision1"/>
    <w:semiHidden/>
    <w:qFormat/>
    <w:uiPriority w:val="99"/>
    <w:rPr>
      <w:rFonts w:ascii="Times New Roman" w:hAnsi="Times New Roman" w:eastAsia="宋体" w:cs="Times New Roman"/>
      <w:szCs w:val="22"/>
      <w:lang w:val="en-US" w:eastAsia="zh-CN" w:bidi="ar-SA"/>
    </w:rPr>
  </w:style>
  <w:style w:type="paragraph" w:customStyle="1" w:styleId="79">
    <w:name w:val="RAN1 bullet1"/>
    <w:basedOn w:val="1"/>
    <w:qFormat/>
    <w:uiPriority w:val="0"/>
    <w:pPr>
      <w:numPr>
        <w:ilvl w:val="0"/>
        <w:numId w:val="3"/>
      </w:numPr>
    </w:pPr>
  </w:style>
  <w:style w:type="paragraph" w:customStyle="1" w:styleId="80">
    <w:name w:val="List Paragraph2"/>
    <w:basedOn w:val="1"/>
    <w:qFormat/>
    <w:uiPriority w:val="99"/>
    <w:pPr>
      <w:ind w:firstLine="420" w:firstLineChars="200"/>
    </w:pPr>
  </w:style>
  <w:style w:type="paragraph" w:customStyle="1" w:styleId="81">
    <w:name w:val="ZA"/>
    <w:qFormat/>
    <w:uiPriority w:val="0"/>
    <w:pPr>
      <w:widowControl w:val="0"/>
      <w:pBdr>
        <w:bottom w:val="single" w:color="auto" w:sz="12" w:space="1"/>
      </w:pBdr>
      <w:jc w:val="right"/>
    </w:pPr>
    <w:rPr>
      <w:rFonts w:ascii="Arial" w:hAnsi="Arial" w:eastAsia="宋体" w:cs="Times New Roman"/>
      <w:sz w:val="40"/>
      <w:lang w:val="en-US" w:eastAsia="en-US" w:bidi="ar-SA"/>
    </w:rPr>
  </w:style>
  <w:style w:type="paragraph" w:customStyle="1" w:styleId="82">
    <w:name w:val="z-窗体顶端1"/>
    <w:basedOn w:val="1"/>
    <w:next w:val="1"/>
    <w:link w:val="88"/>
    <w:unhideWhenUsed/>
    <w:qFormat/>
    <w:uiPriority w:val="99"/>
    <w:pPr>
      <w:pBdr>
        <w:bottom w:val="single" w:color="auto" w:sz="6" w:space="1"/>
      </w:pBdr>
      <w:jc w:val="center"/>
    </w:pPr>
    <w:rPr>
      <w:rFonts w:ascii="Arial" w:hAnsi="Arial"/>
      <w:vanish/>
      <w:sz w:val="16"/>
      <w:szCs w:val="16"/>
    </w:rPr>
  </w:style>
  <w:style w:type="character" w:customStyle="1" w:styleId="83">
    <w:name w:val="标题 3 Char"/>
    <w:link w:val="4"/>
    <w:qFormat/>
    <w:uiPriority w:val="9"/>
    <w:rPr>
      <w:rFonts w:ascii="Times New Roman" w:hAnsi="Times New Roman" w:eastAsia="宋体"/>
      <w:b/>
      <w:bCs/>
      <w:sz w:val="24"/>
      <w:szCs w:val="32"/>
      <w:lang w:val="en-US" w:eastAsia="zh-CN"/>
    </w:rPr>
  </w:style>
  <w:style w:type="character" w:customStyle="1" w:styleId="84">
    <w:name w:val="标题 7 Char"/>
    <w:link w:val="8"/>
    <w:semiHidden/>
    <w:qFormat/>
    <w:uiPriority w:val="9"/>
    <w:rPr>
      <w:b/>
      <w:bCs/>
      <w:sz w:val="24"/>
      <w:szCs w:val="24"/>
      <w:lang w:val="en-US" w:eastAsia="zh-CN"/>
    </w:rPr>
  </w:style>
  <w:style w:type="character" w:customStyle="1" w:styleId="85">
    <w:name w:val="TH Char"/>
    <w:link w:val="35"/>
    <w:qFormat/>
    <w:uiPriority w:val="0"/>
    <w:rPr>
      <w:rFonts w:ascii="Arial" w:hAnsi="Arial"/>
      <w:b/>
      <w:lang w:eastAsia="en-US"/>
    </w:rPr>
  </w:style>
  <w:style w:type="character" w:customStyle="1" w:styleId="86">
    <w:name w:val="正文文本 Char"/>
    <w:link w:val="16"/>
    <w:qFormat/>
    <w:uiPriority w:val="0"/>
    <w:rPr>
      <w:rFonts w:ascii="Times New Roman" w:hAnsi="Times New Roman" w:eastAsia="宋体"/>
      <w:color w:val="000000"/>
      <w:kern w:val="2"/>
      <w:sz w:val="21"/>
    </w:rPr>
  </w:style>
  <w:style w:type="character" w:customStyle="1" w:styleId="87">
    <w:name w:val="日期 Char"/>
    <w:link w:val="20"/>
    <w:semiHidden/>
    <w:qFormat/>
    <w:uiPriority w:val="99"/>
    <w:rPr>
      <w:sz w:val="22"/>
      <w:szCs w:val="22"/>
    </w:rPr>
  </w:style>
  <w:style w:type="character" w:customStyle="1" w:styleId="88">
    <w:name w:val="z-窗体顶端 Char"/>
    <w:link w:val="82"/>
    <w:semiHidden/>
    <w:qFormat/>
    <w:uiPriority w:val="99"/>
    <w:rPr>
      <w:rFonts w:ascii="Arial" w:hAnsi="Arial" w:cs="Arial"/>
      <w:vanish/>
      <w:sz w:val="16"/>
      <w:szCs w:val="16"/>
    </w:rPr>
  </w:style>
  <w:style w:type="character" w:customStyle="1" w:styleId="89">
    <w:name w:val="批注主题 Char"/>
    <w:link w:val="27"/>
    <w:semiHidden/>
    <w:qFormat/>
    <w:uiPriority w:val="99"/>
    <w:rPr>
      <w:b/>
      <w:bCs/>
    </w:rPr>
  </w:style>
  <w:style w:type="character" w:customStyle="1" w:styleId="90">
    <w:name w:val="列出段落 Char"/>
    <w:link w:val="67"/>
    <w:qFormat/>
    <w:uiPriority w:val="34"/>
    <w:rPr>
      <w:rFonts w:ascii="Times New Roman" w:hAnsi="Times New Roman"/>
      <w:kern w:val="2"/>
      <w:sz w:val="21"/>
      <w:szCs w:val="24"/>
    </w:rPr>
  </w:style>
  <w:style w:type="character" w:customStyle="1" w:styleId="91">
    <w:name w:val="页眉 Char"/>
    <w:link w:val="23"/>
    <w:qFormat/>
    <w:uiPriority w:val="99"/>
    <w:rPr>
      <w:rFonts w:ascii="Arial" w:hAnsi="Arial" w:eastAsia="MS Mincho"/>
      <w:b/>
      <w:szCs w:val="24"/>
      <w:lang w:eastAsia="en-US"/>
    </w:rPr>
  </w:style>
  <w:style w:type="character" w:customStyle="1" w:styleId="92">
    <w:name w:val="TF Char"/>
    <w:link w:val="55"/>
    <w:qFormat/>
    <w:uiPriority w:val="0"/>
    <w:rPr>
      <w:rFonts w:ascii="Arial" w:hAnsi="Arial"/>
      <w:b/>
      <w:lang w:val="en-GB" w:eastAsia="en-US"/>
    </w:rPr>
  </w:style>
  <w:style w:type="character" w:customStyle="1" w:styleId="93">
    <w:name w:val="标题 1 Char"/>
    <w:link w:val="2"/>
    <w:qFormat/>
    <w:uiPriority w:val="99"/>
    <w:rPr>
      <w:rFonts w:ascii="Times New Roman" w:hAnsi="Times New Roman" w:eastAsia="黑体"/>
      <w:b/>
      <w:bCs/>
      <w:sz w:val="30"/>
      <w:szCs w:val="30"/>
      <w:lang w:val="zh-CN" w:eastAsia="zh-CN"/>
    </w:rPr>
  </w:style>
  <w:style w:type="character" w:customStyle="1" w:styleId="94">
    <w:name w:val="标题 6 Char"/>
    <w:link w:val="7"/>
    <w:semiHidden/>
    <w:qFormat/>
    <w:uiPriority w:val="9"/>
    <w:rPr>
      <w:rFonts w:ascii="Cambria" w:hAnsi="Cambria" w:eastAsia="宋体" w:cs="黑体"/>
      <w:b/>
      <w:bCs/>
      <w:sz w:val="24"/>
      <w:szCs w:val="24"/>
      <w:lang w:val="en-US" w:eastAsia="zh-CN"/>
    </w:rPr>
  </w:style>
  <w:style w:type="character" w:customStyle="1" w:styleId="95">
    <w:name w:val="标题 4 Char"/>
    <w:link w:val="5"/>
    <w:qFormat/>
    <w:uiPriority w:val="0"/>
    <w:rPr>
      <w:rFonts w:ascii="Times New Roman" w:hAnsi="Times New Roman"/>
      <w:b/>
      <w:sz w:val="28"/>
      <w:szCs w:val="28"/>
      <w:lang w:eastAsia="zh-CN"/>
    </w:rPr>
  </w:style>
  <w:style w:type="character" w:customStyle="1" w:styleId="96">
    <w:name w:val="标题 9 Char"/>
    <w:link w:val="10"/>
    <w:semiHidden/>
    <w:qFormat/>
    <w:uiPriority w:val="9"/>
    <w:rPr>
      <w:rFonts w:ascii="Cambria" w:hAnsi="Cambria" w:eastAsia="宋体" w:cs="黑体"/>
      <w:sz w:val="21"/>
      <w:szCs w:val="21"/>
      <w:lang w:val="en-US" w:eastAsia="zh-CN"/>
    </w:rPr>
  </w:style>
  <w:style w:type="character" w:customStyle="1" w:styleId="97">
    <w:name w:val="纯文本 Char"/>
    <w:link w:val="19"/>
    <w:qFormat/>
    <w:uiPriority w:val="99"/>
    <w:rPr>
      <w:rFonts w:eastAsia="Calibri"/>
      <w:sz w:val="22"/>
      <w:szCs w:val="21"/>
      <w:lang w:eastAsia="en-US"/>
    </w:rPr>
  </w:style>
  <w:style w:type="character" w:customStyle="1" w:styleId="98">
    <w:name w:val="apple-converted-space"/>
    <w:basedOn w:val="30"/>
    <w:qFormat/>
    <w:uiPriority w:val="0"/>
  </w:style>
  <w:style w:type="character" w:customStyle="1" w:styleId="99">
    <w:name w:val="标题 5 Char"/>
    <w:link w:val="6"/>
    <w:qFormat/>
    <w:uiPriority w:val="0"/>
    <w:rPr>
      <w:rFonts w:ascii="Times New Roman" w:hAnsi="Times New Roman"/>
      <w:b/>
      <w:sz w:val="24"/>
      <w:szCs w:val="24"/>
      <w:lang w:eastAsia="zh-CN"/>
    </w:rPr>
  </w:style>
  <w:style w:type="character" w:customStyle="1" w:styleId="100">
    <w:name w:val="题注 Char"/>
    <w:link w:val="13"/>
    <w:qFormat/>
    <w:uiPriority w:val="0"/>
    <w:rPr>
      <w:rFonts w:ascii="Times New Roman" w:hAnsi="Times New Roman"/>
      <w:b/>
      <w:bCs/>
    </w:rPr>
  </w:style>
  <w:style w:type="character" w:customStyle="1" w:styleId="101">
    <w:name w:val="正文文本缩进 Char"/>
    <w:link w:val="17"/>
    <w:semiHidden/>
    <w:qFormat/>
    <w:uiPriority w:val="99"/>
    <w:rPr>
      <w:sz w:val="22"/>
      <w:szCs w:val="22"/>
    </w:rPr>
  </w:style>
  <w:style w:type="character" w:customStyle="1" w:styleId="102">
    <w:name w:val="标题 8 Char"/>
    <w:link w:val="9"/>
    <w:semiHidden/>
    <w:qFormat/>
    <w:uiPriority w:val="9"/>
    <w:rPr>
      <w:rFonts w:ascii="Cambria" w:hAnsi="Cambria" w:eastAsia="宋体" w:cs="黑体"/>
      <w:sz w:val="24"/>
      <w:szCs w:val="24"/>
      <w:lang w:val="en-US" w:eastAsia="zh-CN"/>
    </w:rPr>
  </w:style>
  <w:style w:type="character" w:customStyle="1" w:styleId="103">
    <w:name w:val="标题 2 Char"/>
    <w:link w:val="3"/>
    <w:qFormat/>
    <w:uiPriority w:val="0"/>
    <w:rPr>
      <w:rFonts w:ascii="Times New Roman" w:hAnsi="Times New Roman" w:eastAsia="宋体"/>
      <w:b/>
      <w:bCs/>
      <w:kern w:val="2"/>
      <w:sz w:val="24"/>
      <w:szCs w:val="24"/>
      <w:lang w:val="zh-CN"/>
    </w:rPr>
  </w:style>
  <w:style w:type="character" w:customStyle="1" w:styleId="104">
    <w:name w:val="short_text"/>
    <w:basedOn w:val="30"/>
    <w:qFormat/>
    <w:uiPriority w:val="0"/>
  </w:style>
  <w:style w:type="character" w:customStyle="1" w:styleId="105">
    <w:name w:val="页脚 Char"/>
    <w:link w:val="22"/>
    <w:qFormat/>
    <w:uiPriority w:val="99"/>
    <w:rPr>
      <w:sz w:val="18"/>
      <w:szCs w:val="18"/>
    </w:rPr>
  </w:style>
  <w:style w:type="character" w:customStyle="1" w:styleId="106">
    <w:name w:val="批注文字 Char"/>
    <w:basedOn w:val="30"/>
    <w:link w:val="15"/>
    <w:qFormat/>
    <w:uiPriority w:val="99"/>
  </w:style>
  <w:style w:type="character" w:customStyle="1" w:styleId="107">
    <w:name w:val="hps"/>
    <w:basedOn w:val="30"/>
    <w:qFormat/>
    <w:uiPriority w:val="0"/>
  </w:style>
  <w:style w:type="character" w:customStyle="1" w:styleId="108">
    <w:name w:val="z-窗体底端 Char"/>
    <w:link w:val="56"/>
    <w:semiHidden/>
    <w:qFormat/>
    <w:uiPriority w:val="99"/>
    <w:rPr>
      <w:rFonts w:ascii="Arial" w:hAnsi="Arial" w:cs="Arial"/>
      <w:vanish/>
      <w:sz w:val="16"/>
      <w:szCs w:val="16"/>
    </w:rPr>
  </w:style>
  <w:style w:type="character" w:customStyle="1" w:styleId="109">
    <w:name w:val="main text Char"/>
    <w:link w:val="77"/>
    <w:qFormat/>
    <w:uiPriority w:val="0"/>
    <w:rPr>
      <w:rFonts w:ascii="Times New Roman" w:hAnsi="Times New Roman" w:eastAsia="Malgun Gothic"/>
      <w:lang w:eastAsia="ko-KR"/>
    </w:rPr>
  </w:style>
  <w:style w:type="character" w:customStyle="1" w:styleId="110">
    <w:name w:val="批注框文本 Char"/>
    <w:link w:val="21"/>
    <w:semiHidden/>
    <w:qFormat/>
    <w:uiPriority w:val="99"/>
    <w:rPr>
      <w:rFonts w:ascii="Tahoma" w:hAnsi="Tahoma" w:cs="Tahoma"/>
      <w:sz w:val="16"/>
      <w:szCs w:val="16"/>
    </w:rPr>
  </w:style>
  <w:style w:type="character" w:customStyle="1" w:styleId="111">
    <w:name w:val="keyword"/>
    <w:basedOn w:val="30"/>
    <w:qFormat/>
    <w:uiPriority w:val="0"/>
  </w:style>
  <w:style w:type="character" w:customStyle="1" w:styleId="112">
    <w:name w:val="文档结构图 Char"/>
    <w:link w:val="14"/>
    <w:semiHidden/>
    <w:qFormat/>
    <w:uiPriority w:val="99"/>
    <w:rPr>
      <w:rFonts w:ascii="宋体"/>
      <w:sz w:val="18"/>
      <w:szCs w:val="18"/>
    </w:rPr>
  </w:style>
  <w:style w:type="character" w:customStyle="1" w:styleId="113">
    <w:name w:val="Doc-text2 Char"/>
    <w:link w:val="53"/>
    <w:qFormat/>
    <w:uiPriority w:val="0"/>
    <w:rPr>
      <w:rFonts w:ascii="Arial" w:hAnsi="Arial" w:eastAsia="MS Mincho"/>
      <w:szCs w:val="24"/>
    </w:rPr>
  </w:style>
  <w:style w:type="paragraph" w:customStyle="1" w:styleId="114">
    <w:name w:val="Style1"/>
    <w:basedOn w:val="1"/>
    <w:qFormat/>
    <w:uiPriority w:val="0"/>
    <w:pPr>
      <w:spacing w:after="100" w:afterAutospacing="1" w:line="300" w:lineRule="auto"/>
      <w:ind w:firstLine="360"/>
      <w:contextualSpacing/>
      <w:jc w:val="both"/>
    </w:pPr>
    <w:rPr>
      <w:rFonts w:eastAsia="宋体"/>
      <w:szCs w:val="20"/>
    </w:rPr>
  </w:style>
  <w:style w:type="paragraph" w:customStyle="1" w:styleId="115">
    <w:name w:val="样式 正文缩进d + 首行缩进:  2 字符 段前: 0.35 行"/>
    <w:basedOn w:val="12"/>
    <w:qFormat/>
    <w:uiPriority w:val="0"/>
    <w:pPr>
      <w:adjustRightInd w:val="0"/>
      <w:spacing w:beforeLines="35" w:line="460" w:lineRule="exact"/>
      <w:ind w:firstLine="560"/>
    </w:pPr>
    <w:rPr>
      <w:rFonts w:cs="宋体"/>
    </w:rPr>
  </w:style>
  <w:style w:type="paragraph" w:customStyle="1" w:styleId="116">
    <w:name w:val="Revision3"/>
    <w:hidden/>
    <w:semiHidden/>
    <w:qFormat/>
    <w:uiPriority w:val="99"/>
    <w:rPr>
      <w:rFonts w:ascii="Times New Roman" w:hAnsi="Times New Roman" w:eastAsia="Times New Roman" w:cs="Times New Roman"/>
      <w:szCs w:val="22"/>
      <w:lang w:val="en-US" w:eastAsia="zh-CN" w:bidi="ar-SA"/>
    </w:rPr>
  </w:style>
  <w:style w:type="character" w:customStyle="1" w:styleId="117">
    <w:name w:val="TAC Char"/>
    <w:link w:val="42"/>
    <w:qFormat/>
    <w:uiPriority w:val="0"/>
    <w:rPr>
      <w:rFonts w:ascii="Arial" w:hAnsi="Arial" w:eastAsia="Times New Roman" w:cs="Times New Roman"/>
      <w:sz w:val="18"/>
      <w:lang w:eastAsia="en-US"/>
    </w:rPr>
  </w:style>
  <w:style w:type="character" w:customStyle="1" w:styleId="118">
    <w:name w:val="TAH Car"/>
    <w:link w:val="41"/>
    <w:qFormat/>
    <w:uiPriority w:val="0"/>
    <w:rPr>
      <w:rFonts w:ascii="Arial" w:hAnsi="Arial" w:eastAsia="Times New Roman" w:cs="Times New Roman"/>
      <w:b/>
      <w:sz w:val="18"/>
      <w:lang w:eastAsia="en-US"/>
    </w:rPr>
  </w:style>
  <w:style w:type="paragraph" w:customStyle="1" w:styleId="119">
    <w:name w:val="列出段落6"/>
    <w:basedOn w:val="1"/>
    <w:qFormat/>
    <w:uiPriority w:val="34"/>
    <w:pPr>
      <w:ind w:left="840" w:leftChars="400"/>
    </w:pPr>
  </w:style>
  <w:style w:type="character" w:customStyle="1" w:styleId="120">
    <w:name w:val="normaltextrun"/>
    <w:basedOn w:val="30"/>
    <w:qFormat/>
    <w:uiPriority w:val="0"/>
  </w:style>
  <w:style w:type="paragraph" w:customStyle="1" w:styleId="121">
    <w:name w:val="0 Main text"/>
    <w:basedOn w:val="77"/>
    <w:qFormat/>
    <w:uiPriority w:val="0"/>
    <w:pPr>
      <w:spacing w:before="0" w:after="100" w:afterAutospacing="1"/>
      <w:ind w:firstLine="360" w:firstLineChars="0"/>
    </w:pPr>
    <w:rPr>
      <w:lang w:eastAsia="en-US"/>
    </w:rPr>
  </w:style>
  <w:style w:type="paragraph" w:styleId="122">
    <w:name w:val="List Paragraph"/>
    <w:basedOn w:val="1"/>
    <w:qFormat/>
    <w:uiPriority w:val="34"/>
    <w:pPr>
      <w:ind w:left="840" w:leftChars="400"/>
    </w:pPr>
  </w:style>
  <w:style w:type="paragraph" w:customStyle="1" w:styleId="123">
    <w:name w:val="paragraph"/>
    <w:basedOn w:val="1"/>
    <w:qFormat/>
    <w:uiPriority w:val="99"/>
    <w:pPr>
      <w:spacing w:before="100" w:beforeAutospacing="1" w:after="100" w:afterAutospacing="1"/>
    </w:pPr>
    <w:rPr>
      <w:sz w:val="24"/>
      <w:lang w:val="sv-S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wmf"/><Relationship Id="rId6" Type="http://schemas.openxmlformats.org/officeDocument/2006/relationships/oleObject" Target="embeddings/oleObject1.bin"/><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7</Pages>
  <Words>2488</Words>
  <Characters>14182</Characters>
  <Lines>118</Lines>
  <Paragraphs>33</Paragraphs>
  <TotalTime>45</TotalTime>
  <ScaleCrop>false</ScaleCrop>
  <LinksUpToDate>false</LinksUpToDate>
  <CharactersWithSpaces>16637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2019-11-09T00:23:00Z</dcterms:created>
  <dc:creator>ZTE</dc:creator>
  <cp:lastModifiedBy>ZHANG, Yang</cp:lastModifiedBy>
  <dcterms:modified xsi:type="dcterms:W3CDTF">2021-04-06T10:59:57Z</dcterms:modified>
  <dc:title>Full Tx Power</dc:title>
  <cp:revision>333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